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31D" w:rsidRDefault="00F92A95">
      <w:pPr>
        <w:spacing w:after="406" w:line="259" w:lineRule="auto"/>
        <w:ind w:left="2728" w:right="0" w:firstLine="0"/>
        <w:jc w:val="left"/>
      </w:pPr>
      <w:r>
        <w:rPr>
          <w:noProof/>
        </w:rPr>
        <w:drawing>
          <wp:inline distT="0" distB="0" distL="0" distR="0">
            <wp:extent cx="2524125" cy="84137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5"/>
                    <a:stretch>
                      <a:fillRect/>
                    </a:stretch>
                  </pic:blipFill>
                  <pic:spPr>
                    <a:xfrm>
                      <a:off x="0" y="0"/>
                      <a:ext cx="2524125" cy="841375"/>
                    </a:xfrm>
                    <a:prstGeom prst="rect">
                      <a:avLst/>
                    </a:prstGeom>
                  </pic:spPr>
                </pic:pic>
              </a:graphicData>
            </a:graphic>
          </wp:inline>
        </w:drawing>
      </w:r>
    </w:p>
    <w:p w:rsidR="0024131D" w:rsidRDefault="00F92A95">
      <w:pPr>
        <w:spacing w:after="276" w:line="259" w:lineRule="auto"/>
        <w:ind w:left="588" w:right="72"/>
        <w:jc w:val="center"/>
      </w:pPr>
      <w:r>
        <w:rPr>
          <w:b/>
        </w:rPr>
        <w:t xml:space="preserve">CURSO DE MEDICINA </w:t>
      </w:r>
    </w:p>
    <w:p w:rsidR="0024131D" w:rsidRDefault="00F92A95">
      <w:pPr>
        <w:spacing w:after="276" w:line="259" w:lineRule="auto"/>
        <w:ind w:left="588" w:right="71"/>
        <w:jc w:val="center"/>
      </w:pPr>
      <w:r>
        <w:rPr>
          <w:b/>
        </w:rPr>
        <w:t xml:space="preserve">BÁRBARA ROCHA BEHRENS FREIRE </w:t>
      </w:r>
    </w:p>
    <w:p w:rsidR="0024131D" w:rsidRDefault="00F92A95">
      <w:pPr>
        <w:spacing w:after="274"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6" w:line="259" w:lineRule="auto"/>
        <w:ind w:left="570" w:right="0" w:firstLine="0"/>
        <w:jc w:val="center"/>
      </w:pPr>
      <w:r>
        <w:rPr>
          <w:b/>
        </w:rPr>
        <w:t xml:space="preserve"> </w:t>
      </w:r>
    </w:p>
    <w:p w:rsidR="0024131D" w:rsidRDefault="00F92A95">
      <w:pPr>
        <w:spacing w:after="112" w:line="259" w:lineRule="auto"/>
        <w:ind w:left="0" w:right="463" w:firstLine="0"/>
        <w:jc w:val="right"/>
      </w:pPr>
      <w:r>
        <w:rPr>
          <w:b/>
        </w:rPr>
        <w:t xml:space="preserve">AVALIAR O TRATAMENTO COMBINADO DE QUIMIOEMBOLIZAÇÃO E </w:t>
      </w:r>
    </w:p>
    <w:p w:rsidR="0024131D" w:rsidRDefault="00F92A95">
      <w:pPr>
        <w:spacing w:after="115" w:line="259" w:lineRule="auto"/>
        <w:ind w:left="1194" w:right="0"/>
        <w:jc w:val="left"/>
      </w:pPr>
      <w:r>
        <w:rPr>
          <w:b/>
        </w:rPr>
        <w:t xml:space="preserve">QUIMIOTERAPIA SISTÊMICA EM PACIENTES COM INDICAÇÃO DE </w:t>
      </w:r>
    </w:p>
    <w:p w:rsidR="0024131D" w:rsidRDefault="00F92A95">
      <w:pPr>
        <w:spacing w:after="161" w:line="356" w:lineRule="auto"/>
        <w:ind w:left="588" w:right="334"/>
        <w:jc w:val="center"/>
      </w:pPr>
      <w:r>
        <w:rPr>
          <w:b/>
        </w:rPr>
        <w:t xml:space="preserve">QUIMIOEMBOLIZAÇÃO </w:t>
      </w:r>
      <w:r>
        <w:rPr>
          <w:b/>
        </w:rPr>
        <w:t xml:space="preserve">COMO TRATAMENTO DE CARCINOMA HEPATOCELULAR: UMA REVISÃO SISTEMÁTICA </w:t>
      </w:r>
    </w:p>
    <w:p w:rsidR="0024131D" w:rsidRDefault="00F92A95">
      <w:pPr>
        <w:spacing w:after="273" w:line="259" w:lineRule="auto"/>
        <w:ind w:left="569" w:right="0" w:firstLine="0"/>
        <w:jc w:val="left"/>
      </w:pPr>
      <w:r>
        <w:rPr>
          <w:b/>
        </w:rPr>
        <w:t xml:space="preserve"> </w:t>
      </w:r>
    </w:p>
    <w:p w:rsidR="0024131D" w:rsidRDefault="00F92A95">
      <w:pPr>
        <w:spacing w:after="273" w:line="259" w:lineRule="auto"/>
        <w:ind w:left="569" w:right="0" w:firstLine="0"/>
        <w:jc w:val="left"/>
      </w:pPr>
      <w:r>
        <w:rPr>
          <w:b/>
        </w:rPr>
        <w:t xml:space="preserve"> </w:t>
      </w:r>
    </w:p>
    <w:p w:rsidR="0024131D" w:rsidRDefault="00F92A95">
      <w:pPr>
        <w:spacing w:after="276" w:line="259" w:lineRule="auto"/>
        <w:ind w:left="570" w:right="0" w:firstLine="0"/>
        <w:jc w:val="center"/>
      </w:pPr>
      <w:r>
        <w:rPr>
          <w:b/>
        </w:rPr>
        <w:t xml:space="preserve"> </w:t>
      </w:r>
    </w:p>
    <w:p w:rsidR="0024131D" w:rsidRDefault="00F92A95">
      <w:pPr>
        <w:spacing w:after="274" w:line="259" w:lineRule="auto"/>
        <w:ind w:left="570" w:right="0" w:firstLine="0"/>
        <w:jc w:val="center"/>
      </w:pPr>
      <w:r>
        <w:rPr>
          <w:b/>
        </w:rPr>
        <w:t xml:space="preserve"> </w:t>
      </w:r>
    </w:p>
    <w:p w:rsidR="0024131D" w:rsidRDefault="00F92A95">
      <w:pPr>
        <w:spacing w:after="273" w:line="259" w:lineRule="auto"/>
        <w:ind w:left="569" w:right="0" w:firstLine="0"/>
        <w:jc w:val="left"/>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6" w:line="259" w:lineRule="auto"/>
        <w:ind w:left="588" w:right="71"/>
        <w:jc w:val="center"/>
      </w:pPr>
      <w:r>
        <w:rPr>
          <w:b/>
        </w:rPr>
        <w:t xml:space="preserve">SALVADOR </w:t>
      </w:r>
    </w:p>
    <w:p w:rsidR="0024131D" w:rsidRDefault="00F92A95">
      <w:pPr>
        <w:spacing w:after="276" w:line="259" w:lineRule="auto"/>
        <w:ind w:left="588" w:right="69"/>
        <w:jc w:val="center"/>
      </w:pPr>
      <w:r>
        <w:rPr>
          <w:b/>
        </w:rPr>
        <w:t xml:space="preserve">2023 </w:t>
      </w:r>
    </w:p>
    <w:p w:rsidR="0024131D" w:rsidRDefault="00F92A95">
      <w:pPr>
        <w:spacing w:after="276" w:line="259" w:lineRule="auto"/>
        <w:ind w:left="588" w:right="72"/>
        <w:jc w:val="center"/>
      </w:pPr>
      <w:r>
        <w:rPr>
          <w:b/>
        </w:rPr>
        <w:t xml:space="preserve">Bárbara Rocha </w:t>
      </w:r>
      <w:proofErr w:type="spellStart"/>
      <w:r>
        <w:rPr>
          <w:b/>
        </w:rPr>
        <w:t>Behrens</w:t>
      </w:r>
      <w:proofErr w:type="spellEnd"/>
      <w:r>
        <w:rPr>
          <w:b/>
        </w:rPr>
        <w:t xml:space="preserve"> Freire </w:t>
      </w:r>
    </w:p>
    <w:p w:rsidR="0024131D" w:rsidRDefault="00F92A95">
      <w:pPr>
        <w:spacing w:after="273"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lastRenderedPageBreak/>
        <w:t xml:space="preserve"> </w:t>
      </w:r>
    </w:p>
    <w:p w:rsidR="0024131D" w:rsidRDefault="00F92A95">
      <w:pPr>
        <w:spacing w:after="273" w:line="259" w:lineRule="auto"/>
        <w:ind w:left="570" w:right="0" w:firstLine="0"/>
        <w:jc w:val="center"/>
      </w:pPr>
      <w:r>
        <w:rPr>
          <w:b/>
        </w:rPr>
        <w:t xml:space="preserve"> </w:t>
      </w:r>
    </w:p>
    <w:p w:rsidR="0024131D" w:rsidRDefault="00F92A95">
      <w:pPr>
        <w:spacing w:after="115" w:line="259" w:lineRule="auto"/>
        <w:ind w:left="588" w:right="71"/>
        <w:jc w:val="center"/>
      </w:pPr>
      <w:r>
        <w:rPr>
          <w:b/>
        </w:rPr>
        <w:t xml:space="preserve">AVALIAR O TRATAMENTO COMBINADO DE QUIMIOEMBOLIZAÇÃO E </w:t>
      </w:r>
    </w:p>
    <w:p w:rsidR="0024131D" w:rsidRDefault="00F92A95">
      <w:pPr>
        <w:spacing w:after="112" w:line="259" w:lineRule="auto"/>
        <w:ind w:left="588" w:right="69"/>
        <w:jc w:val="center"/>
      </w:pPr>
      <w:r>
        <w:rPr>
          <w:b/>
        </w:rPr>
        <w:t xml:space="preserve">QUIMIOTERAPIA SISTÊMICA EM PACIENTES COM INDICAÇÃO DE </w:t>
      </w:r>
    </w:p>
    <w:p w:rsidR="0024131D" w:rsidRDefault="00F92A95">
      <w:pPr>
        <w:spacing w:after="158" w:line="359" w:lineRule="auto"/>
        <w:ind w:left="588" w:right="335"/>
        <w:jc w:val="center"/>
      </w:pPr>
      <w:r>
        <w:rPr>
          <w:b/>
        </w:rPr>
        <w:t>QUIMIOEMBOLIZAÇÃO</w:t>
      </w:r>
      <w:r>
        <w:rPr>
          <w:b/>
          <w:color w:val="FF0000"/>
        </w:rPr>
        <w:t xml:space="preserve"> </w:t>
      </w:r>
      <w:r>
        <w:rPr>
          <w:b/>
        </w:rPr>
        <w:t xml:space="preserve">COMO TRATAMENTO DE CARCINOMA HEPATOCELULAR: UMA REVISÃO SISTEMÁTICA </w:t>
      </w:r>
    </w:p>
    <w:p w:rsidR="0024131D" w:rsidRDefault="00F92A95">
      <w:pPr>
        <w:spacing w:after="273" w:line="259" w:lineRule="auto"/>
        <w:ind w:left="569" w:right="0" w:firstLine="0"/>
        <w:jc w:val="left"/>
      </w:pPr>
      <w:r>
        <w:rPr>
          <w:b/>
        </w:rPr>
        <w:t xml:space="preserve"> </w:t>
      </w:r>
    </w:p>
    <w:p w:rsidR="0024131D" w:rsidRDefault="00F92A95">
      <w:pPr>
        <w:ind w:right="48"/>
      </w:pPr>
      <w:r>
        <w:t xml:space="preserve">Trabalho de Conclusão de Curso apresentado ao Curso de Graduação em Medicina da Escola </w:t>
      </w:r>
      <w:proofErr w:type="spellStart"/>
      <w:r>
        <w:t>Bahiana</w:t>
      </w:r>
      <w:proofErr w:type="spellEnd"/>
      <w:r>
        <w:t xml:space="preserve"> de Medicina e Saúde Pública como requisito para aprovação no quarto ano </w:t>
      </w:r>
      <w:r>
        <w:t xml:space="preserve">de Medicina. </w:t>
      </w:r>
    </w:p>
    <w:p w:rsidR="0024131D" w:rsidRDefault="00F92A95">
      <w:pPr>
        <w:spacing w:after="273" w:line="259" w:lineRule="auto"/>
        <w:ind w:left="1410" w:right="0" w:firstLine="0"/>
        <w:jc w:val="center"/>
      </w:pPr>
      <w:r>
        <w:t xml:space="preserve"> </w:t>
      </w:r>
    </w:p>
    <w:p w:rsidR="0024131D" w:rsidRDefault="00F92A95">
      <w:pPr>
        <w:spacing w:after="274" w:line="259" w:lineRule="auto"/>
        <w:ind w:left="517" w:right="0"/>
        <w:jc w:val="center"/>
      </w:pPr>
      <w:r>
        <w:t xml:space="preserve">Orientador: Vinicius Nunes </w:t>
      </w:r>
    </w:p>
    <w:p w:rsidR="0024131D" w:rsidRDefault="00F92A95">
      <w:pPr>
        <w:spacing w:after="273" w:line="259" w:lineRule="auto"/>
        <w:ind w:left="570" w:right="0" w:firstLine="0"/>
        <w:jc w:val="center"/>
      </w:pPr>
      <w:r>
        <w:t xml:space="preserve"> </w:t>
      </w:r>
    </w:p>
    <w:p w:rsidR="0024131D" w:rsidRDefault="00F92A95">
      <w:pPr>
        <w:spacing w:after="273" w:line="259" w:lineRule="auto"/>
        <w:ind w:left="570" w:right="0" w:firstLine="0"/>
        <w:jc w:val="center"/>
      </w:pPr>
      <w:r>
        <w:t xml:space="preserve"> </w:t>
      </w:r>
    </w:p>
    <w:p w:rsidR="0024131D" w:rsidRDefault="00F92A95">
      <w:pPr>
        <w:spacing w:after="273" w:line="259" w:lineRule="auto"/>
        <w:ind w:left="570" w:right="0" w:firstLine="0"/>
        <w:jc w:val="center"/>
      </w:pPr>
      <w:r>
        <w:t xml:space="preserve"> </w:t>
      </w:r>
    </w:p>
    <w:p w:rsidR="0024131D" w:rsidRDefault="00F92A95">
      <w:pPr>
        <w:spacing w:after="273" w:line="259" w:lineRule="auto"/>
        <w:ind w:left="570" w:right="0" w:firstLine="0"/>
        <w:jc w:val="center"/>
      </w:pPr>
      <w:r>
        <w:t xml:space="preserve"> </w:t>
      </w:r>
    </w:p>
    <w:p w:rsidR="0024131D" w:rsidRDefault="00F92A95">
      <w:pPr>
        <w:spacing w:after="274" w:line="259" w:lineRule="auto"/>
        <w:ind w:left="570" w:right="0" w:firstLine="0"/>
        <w:jc w:val="center"/>
      </w:pPr>
      <w:r>
        <w:t xml:space="preserve"> </w:t>
      </w:r>
    </w:p>
    <w:p w:rsidR="0024131D" w:rsidRDefault="00F92A95">
      <w:pPr>
        <w:spacing w:after="273" w:line="259" w:lineRule="auto"/>
        <w:ind w:left="570" w:right="0" w:firstLine="0"/>
        <w:jc w:val="center"/>
      </w:pPr>
      <w:r>
        <w:t xml:space="preserve"> </w:t>
      </w:r>
    </w:p>
    <w:p w:rsidR="0024131D" w:rsidRDefault="00F92A95">
      <w:pPr>
        <w:spacing w:after="276" w:line="259" w:lineRule="auto"/>
        <w:ind w:left="570" w:right="0" w:firstLine="0"/>
        <w:jc w:val="center"/>
      </w:pPr>
      <w:r>
        <w:t xml:space="preserve"> </w:t>
      </w:r>
    </w:p>
    <w:p w:rsidR="0024131D" w:rsidRDefault="00F92A95">
      <w:pPr>
        <w:spacing w:after="276" w:line="259" w:lineRule="auto"/>
        <w:ind w:left="588" w:right="69"/>
        <w:jc w:val="center"/>
      </w:pPr>
      <w:r>
        <w:rPr>
          <w:b/>
        </w:rPr>
        <w:t xml:space="preserve">Salvador </w:t>
      </w:r>
    </w:p>
    <w:p w:rsidR="0024131D" w:rsidRDefault="00F92A95">
      <w:pPr>
        <w:spacing w:after="276" w:line="259" w:lineRule="auto"/>
        <w:ind w:left="588" w:right="69"/>
        <w:jc w:val="center"/>
      </w:pPr>
      <w:r>
        <w:rPr>
          <w:b/>
        </w:rPr>
        <w:t xml:space="preserve">2023 </w:t>
      </w:r>
    </w:p>
    <w:p w:rsidR="0024131D" w:rsidRDefault="00F92A95">
      <w:pPr>
        <w:spacing w:after="0" w:line="259" w:lineRule="auto"/>
        <w:ind w:left="569" w:right="0" w:firstLine="0"/>
        <w:jc w:val="left"/>
      </w:pPr>
      <w:r>
        <w:t xml:space="preserve"> </w:t>
      </w:r>
    </w:p>
    <w:p w:rsidR="0024131D" w:rsidRDefault="00F92A95">
      <w:pPr>
        <w:spacing w:after="274" w:line="259" w:lineRule="auto"/>
        <w:ind w:left="517" w:right="3"/>
        <w:jc w:val="center"/>
      </w:pPr>
      <w:r>
        <w:t xml:space="preserve">DEDICATÓRIA: </w:t>
      </w:r>
    </w:p>
    <w:p w:rsidR="0024131D" w:rsidRDefault="00F92A95">
      <w:pPr>
        <w:ind w:left="579" w:right="48"/>
      </w:pPr>
      <w:r>
        <w:t xml:space="preserve">Eu dedico este trabalho a meus pais, Sandra e Paulo, que sempre me apoiaram durante todo o percurso e a meus avós, que sempre estiveram comigo. </w:t>
      </w:r>
    </w:p>
    <w:p w:rsidR="0024131D" w:rsidRDefault="00F92A95">
      <w:pPr>
        <w:spacing w:after="273" w:line="259" w:lineRule="auto"/>
        <w:ind w:left="569" w:right="0" w:firstLine="0"/>
        <w:jc w:val="left"/>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lastRenderedPageBreak/>
        <w:t xml:space="preserve"> </w:t>
      </w:r>
    </w:p>
    <w:p w:rsidR="0024131D" w:rsidRDefault="00F92A95">
      <w:pPr>
        <w:spacing w:after="274"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6"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4"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6"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4"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6"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0" w:line="259" w:lineRule="auto"/>
        <w:ind w:left="569" w:right="0" w:firstLine="0"/>
        <w:jc w:val="left"/>
      </w:pPr>
      <w:r>
        <w:rPr>
          <w:b/>
        </w:rPr>
        <w:t xml:space="preserve"> </w:t>
      </w:r>
    </w:p>
    <w:p w:rsidR="0024131D" w:rsidRDefault="00F92A95">
      <w:pPr>
        <w:spacing w:after="274" w:line="259" w:lineRule="auto"/>
        <w:ind w:left="517" w:right="2"/>
        <w:jc w:val="center"/>
      </w:pPr>
      <w:r>
        <w:t xml:space="preserve">AGRADECIMENTOS: </w:t>
      </w:r>
    </w:p>
    <w:p w:rsidR="0024131D" w:rsidRDefault="00F92A95">
      <w:pPr>
        <w:ind w:left="579" w:right="48"/>
      </w:pPr>
      <w:r>
        <w:t xml:space="preserve">Agradeço a meus pais, Sandra e Paulo por me permitirem viver meu sonho, me incentivarem e me permitirem escolher o caminho que gostaria seguir e, principalmente, </w:t>
      </w:r>
      <w:r>
        <w:t xml:space="preserve">sempre me apoiarem no percurso, </w:t>
      </w:r>
      <w:proofErr w:type="spellStart"/>
      <w:r>
        <w:t>independente</w:t>
      </w:r>
      <w:proofErr w:type="spellEnd"/>
      <w:r>
        <w:t xml:space="preserve"> da situação. A meus avós Ruy, Lúcia, Julieta e Mano por sempre estarem comigo me ensinando a ser uma pessoa melhor. Também agradeço a meu orientador, Doutor Vinícius, por todo o apoio e ensinamentos durante o de</w:t>
      </w:r>
      <w:r>
        <w:t>senvolvimento do trabalho e a professor Juarez, por ter me auxiliado bastante durante o processo de escrita. Além disso, gostaria de agradecer a minha madrinha Simone, que sempre me apoiou e a minhas amigas Beatriz, Lorenza, Gabriela e Lorena, por sempre e</w:t>
      </w:r>
      <w:r>
        <w:t xml:space="preserve">starem comigo em todos os momentos, por </w:t>
      </w:r>
      <w:r>
        <w:lastRenderedPageBreak/>
        <w:t xml:space="preserve">ouvirem meus desabafos nos momentos mais difíceis, me fazerem rir como ninguém e me acolherem quando mais preciso. </w:t>
      </w:r>
    </w:p>
    <w:p w:rsidR="0024131D" w:rsidRDefault="00F92A95">
      <w:pPr>
        <w:spacing w:after="276"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4"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6"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4"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276" w:line="259" w:lineRule="auto"/>
        <w:ind w:left="570" w:right="0" w:firstLine="0"/>
        <w:jc w:val="center"/>
      </w:pPr>
      <w:r>
        <w:rPr>
          <w:b/>
        </w:rPr>
        <w:t xml:space="preserve"> </w:t>
      </w:r>
    </w:p>
    <w:p w:rsidR="0024131D" w:rsidRDefault="00F92A95">
      <w:pPr>
        <w:spacing w:after="273" w:line="259" w:lineRule="auto"/>
        <w:ind w:left="570" w:right="0" w:firstLine="0"/>
        <w:jc w:val="center"/>
      </w:pPr>
      <w:r>
        <w:rPr>
          <w:b/>
        </w:rPr>
        <w:t xml:space="preserve"> </w:t>
      </w:r>
    </w:p>
    <w:p w:rsidR="0024131D" w:rsidRDefault="00F92A95">
      <w:pPr>
        <w:spacing w:after="0" w:line="259" w:lineRule="auto"/>
        <w:ind w:left="569" w:right="0" w:firstLine="0"/>
        <w:jc w:val="left"/>
      </w:pPr>
      <w:r>
        <w:rPr>
          <w:b/>
        </w:rPr>
        <w:t xml:space="preserve"> </w:t>
      </w:r>
    </w:p>
    <w:p w:rsidR="0024131D" w:rsidRDefault="00F92A95">
      <w:pPr>
        <w:spacing w:after="276" w:line="259" w:lineRule="auto"/>
        <w:ind w:left="588" w:right="67"/>
        <w:jc w:val="center"/>
      </w:pPr>
      <w:r>
        <w:rPr>
          <w:b/>
        </w:rPr>
        <w:t>Resumo</w:t>
      </w:r>
      <w:r>
        <w:t xml:space="preserve"> </w:t>
      </w:r>
    </w:p>
    <w:p w:rsidR="0024131D" w:rsidRDefault="00F92A95">
      <w:pPr>
        <w:spacing w:line="238" w:lineRule="auto"/>
        <w:ind w:left="579" w:right="48"/>
      </w:pPr>
      <w:bookmarkStart w:id="0" w:name="_GoBack"/>
      <w:r>
        <w:rPr>
          <w:b/>
        </w:rPr>
        <w:t>Introdução:</w:t>
      </w:r>
      <w:r>
        <w:t xml:space="preserve"> </w:t>
      </w:r>
      <w:r>
        <w:t>O carcinoma hepatocelular (CHC) é o sexto tipo de câncer mais comum no mundo, o terceiro com maior mortalidade mundial e o sexto com maior mortalidade no Brasil. A incidência mundial é variável, mas estima-se que até 2030, mais de um milhão de pessoas morr</w:t>
      </w:r>
      <w:r>
        <w:t>erão por conta do CHC no mundo. Em torno de 90% dos pacientes com CHC cursam inicialmente com cirrose, e as principais etiologias são Infecção crônica pelo vírus da Hepatite B e da Hepatite C, doença hepática não alcóolica (NASH) e doença hepática alcoólic</w:t>
      </w:r>
      <w:r>
        <w:t xml:space="preserve">a. Os pacientes com CHC em estágio intermediário apresentam como indicação de tratamento a </w:t>
      </w:r>
      <w:proofErr w:type="spellStart"/>
      <w:r>
        <w:t>quimioembolização</w:t>
      </w:r>
      <w:proofErr w:type="spellEnd"/>
      <w:r>
        <w:t xml:space="preserve"> </w:t>
      </w:r>
      <w:proofErr w:type="spellStart"/>
      <w:r>
        <w:t>transarterial</w:t>
      </w:r>
      <w:proofErr w:type="spellEnd"/>
      <w:r>
        <w:t xml:space="preserve"> (QT), e os pacientes com CHC em estágio avançado, quimioterapia sistêmica (QS), em que a principal droga utilizada é o </w:t>
      </w:r>
      <w:proofErr w:type="spellStart"/>
      <w:r>
        <w:t>Sorafenib</w:t>
      </w:r>
      <w:proofErr w:type="spellEnd"/>
      <w:r>
        <w:t xml:space="preserve">. </w:t>
      </w:r>
      <w:r>
        <w:rPr>
          <w:b/>
        </w:rPr>
        <w:t>Obj</w:t>
      </w:r>
      <w:r>
        <w:rPr>
          <w:b/>
        </w:rPr>
        <w:t>etivos:</w:t>
      </w:r>
      <w:r>
        <w:t xml:space="preserve">   Analisar a eficácia do tratamento combinado de QT e QS em pacientes com indicação de QT como tratamento de CHC. </w:t>
      </w:r>
      <w:r>
        <w:rPr>
          <w:b/>
        </w:rPr>
        <w:t>Metodologia:</w:t>
      </w:r>
      <w:r>
        <w:t xml:space="preserve"> Trata-</w:t>
      </w:r>
      <w:r>
        <w:t xml:space="preserve">se de uma revisão sistemática, com busca ativa na literatura, através da definição de uma metodologia sistematizada específica, que seguiu a padronização do protocolo PRISMA. Os artigos selecionados foram Ensaios Clínicos Randomizados (ECR) dos últimos 15 </w:t>
      </w:r>
      <w:r>
        <w:t xml:space="preserve">anos, nos idiomas inglês, português e espanhol, que analisaram o tratamento combinado de QT e QS, comparado ao tratamento com apenas QT, em pacientes com CHC, elegíveis para QT. O risco de viés foi analisado através da ferramenta </w:t>
      </w:r>
      <w:r>
        <w:lastRenderedPageBreak/>
        <w:t xml:space="preserve">“RoB2- </w:t>
      </w:r>
      <w:r>
        <w:rPr>
          <w:i/>
        </w:rPr>
        <w:t xml:space="preserve">Risk </w:t>
      </w:r>
      <w:proofErr w:type="spellStart"/>
      <w:r>
        <w:rPr>
          <w:i/>
        </w:rPr>
        <w:t>of</w:t>
      </w:r>
      <w:proofErr w:type="spellEnd"/>
      <w:r>
        <w:rPr>
          <w:i/>
        </w:rPr>
        <w:t xml:space="preserve"> Bias 2</w:t>
      </w:r>
      <w:r>
        <w:t xml:space="preserve">”, e </w:t>
      </w:r>
      <w:r>
        <w:t xml:space="preserve">a metodologia foi analisada através da ferramenta CONSORT. </w:t>
      </w:r>
      <w:r>
        <w:rPr>
          <w:b/>
        </w:rPr>
        <w:t>Resultados:</w:t>
      </w:r>
      <w:r>
        <w:t xml:space="preserve"> Neste estudo, foram identificados 338 artigos nas bases eletrônicas e, após a análise, permaneceram 08 artigos. Após a aplicação do Rob2 e CONSORT, permaneceram na amostra, 07 ECR para </w:t>
      </w:r>
      <w:r>
        <w:t xml:space="preserve">análise. Na avaliação do tratamento combinado de QS e QT, cinco artigos possuíam como QS o uso do </w:t>
      </w:r>
      <w:proofErr w:type="spellStart"/>
      <w:r>
        <w:t>Sorafenib</w:t>
      </w:r>
      <w:proofErr w:type="spellEnd"/>
      <w:r>
        <w:t xml:space="preserve">, um artigo, o uso do </w:t>
      </w:r>
      <w:proofErr w:type="spellStart"/>
      <w:r>
        <w:t>Brivanib</w:t>
      </w:r>
      <w:proofErr w:type="spellEnd"/>
      <w:r>
        <w:t xml:space="preserve"> e outro, o uso do </w:t>
      </w:r>
      <w:proofErr w:type="spellStart"/>
      <w:r>
        <w:t>Bevacizumab</w:t>
      </w:r>
      <w:proofErr w:type="spellEnd"/>
      <w:r>
        <w:t>. Como desfechos, foram analisados o Tempo de Progressão (TTP), a Sobrevida Global (OS) e</w:t>
      </w:r>
      <w:r>
        <w:t xml:space="preserve"> a Sobrevida livre de progressão (PFS). Como resultados, quatro artigos não demonstraram aumento do tempo de progressão do tumor nem melhora na sobrevida global dos pacientes em uso de terapia combinada, em relação ao uso apenas de QT. Ademais, um artigo n</w:t>
      </w:r>
      <w:r>
        <w:t>ão mostrou melhora da resposta radiológica do tumor, um artigo não mostrou melhora da sobrevida global dos pacientes, mas demonstrou melhora na sobrevida livre de progressão e um artigo demonstrou aumento do tempo de progressão do tumor. Portanto, cinco ar</w:t>
      </w:r>
      <w:r>
        <w:t xml:space="preserve">tigos foram negativos e dois artigos, positivos, para o objetivo desse estudo. </w:t>
      </w:r>
      <w:r>
        <w:rPr>
          <w:b/>
        </w:rPr>
        <w:t>Conclusões:</w:t>
      </w:r>
      <w:r>
        <w:t xml:space="preserve"> Observa-se que o tratamento combinado de QS e QT em pacientes com indicação de QT não demonstrou benefício, em relação ao tratamento com apenas QT. Dessa forma, o tr</w:t>
      </w:r>
      <w:r>
        <w:t xml:space="preserve">atamento combinado não deve ser realizado nesses pacientes, porém, mais estudos devem ser desenvolvidos nessa área, a fim de desenvolver terapias que aumentem a sobrevida de pacientes com CHC. </w:t>
      </w:r>
    </w:p>
    <w:bookmarkEnd w:id="0"/>
    <w:p w:rsidR="0024131D" w:rsidRPr="00F92A95" w:rsidRDefault="00F92A95">
      <w:pPr>
        <w:spacing w:line="238" w:lineRule="auto"/>
        <w:ind w:left="579" w:right="48"/>
        <w:rPr>
          <w:lang w:val="en-US"/>
        </w:rPr>
      </w:pPr>
      <w:r>
        <w:rPr>
          <w:b/>
        </w:rPr>
        <w:t xml:space="preserve">Palavras-Chave: </w:t>
      </w:r>
      <w:r>
        <w:t xml:space="preserve">1. Carcinoma Hepatocelular. 2. </w:t>
      </w:r>
      <w:proofErr w:type="spellStart"/>
      <w:r>
        <w:t>Quimioembolizaç</w:t>
      </w:r>
      <w:r>
        <w:t>ão</w:t>
      </w:r>
      <w:proofErr w:type="spellEnd"/>
      <w:r>
        <w:t xml:space="preserve"> </w:t>
      </w:r>
      <w:proofErr w:type="spellStart"/>
      <w:r>
        <w:t>Transarterial</w:t>
      </w:r>
      <w:proofErr w:type="spellEnd"/>
      <w:r>
        <w:t xml:space="preserve">. </w:t>
      </w:r>
      <w:r w:rsidRPr="00F92A95">
        <w:rPr>
          <w:lang w:val="en-US"/>
        </w:rPr>
        <w:t xml:space="preserve">3. </w:t>
      </w:r>
      <w:proofErr w:type="spellStart"/>
      <w:r w:rsidRPr="00F92A95">
        <w:rPr>
          <w:lang w:val="en-US"/>
        </w:rPr>
        <w:t>Quimioterapia</w:t>
      </w:r>
      <w:proofErr w:type="spellEnd"/>
      <w:r w:rsidRPr="00F92A95">
        <w:rPr>
          <w:lang w:val="en-US"/>
        </w:rPr>
        <w:t xml:space="preserve"> </w:t>
      </w:r>
      <w:proofErr w:type="spellStart"/>
      <w:r w:rsidRPr="00F92A95">
        <w:rPr>
          <w:lang w:val="en-US"/>
        </w:rPr>
        <w:t>Sistêmica</w:t>
      </w:r>
      <w:proofErr w:type="spellEnd"/>
      <w:r w:rsidRPr="00F92A95">
        <w:rPr>
          <w:lang w:val="en-US"/>
        </w:rPr>
        <w:t xml:space="preserve">. 4. </w:t>
      </w:r>
      <w:proofErr w:type="spellStart"/>
      <w:r w:rsidRPr="00F92A95">
        <w:rPr>
          <w:lang w:val="en-US"/>
        </w:rPr>
        <w:t>Tratamento</w:t>
      </w:r>
      <w:proofErr w:type="spellEnd"/>
      <w:r w:rsidRPr="00F92A95">
        <w:rPr>
          <w:lang w:val="en-US"/>
        </w:rPr>
        <w:t xml:space="preserve"> </w:t>
      </w:r>
      <w:proofErr w:type="spellStart"/>
      <w:r w:rsidRPr="00F92A95">
        <w:rPr>
          <w:lang w:val="en-US"/>
        </w:rPr>
        <w:t>combinado</w:t>
      </w:r>
      <w:proofErr w:type="spellEnd"/>
      <w:r w:rsidRPr="00F92A95">
        <w:rPr>
          <w:lang w:val="en-US"/>
        </w:rPr>
        <w:t xml:space="preserve">. </w:t>
      </w:r>
    </w:p>
    <w:p w:rsidR="0024131D" w:rsidRPr="00F92A95" w:rsidRDefault="00F92A95">
      <w:pPr>
        <w:spacing w:after="136" w:line="259" w:lineRule="auto"/>
        <w:ind w:left="569" w:right="0" w:firstLine="0"/>
        <w:jc w:val="left"/>
        <w:rPr>
          <w:lang w:val="en-US"/>
        </w:rPr>
      </w:pPr>
      <w:r w:rsidRPr="00F92A95">
        <w:rPr>
          <w:lang w:val="en-US"/>
        </w:rPr>
        <w:t xml:space="preserve"> </w:t>
      </w:r>
    </w:p>
    <w:p w:rsidR="0024131D" w:rsidRPr="00F92A95" w:rsidRDefault="00F92A95">
      <w:pPr>
        <w:spacing w:after="134" w:line="259" w:lineRule="auto"/>
        <w:ind w:left="569" w:right="0" w:firstLine="0"/>
        <w:jc w:val="left"/>
        <w:rPr>
          <w:lang w:val="en-US"/>
        </w:rPr>
      </w:pPr>
      <w:r w:rsidRPr="00F92A95">
        <w:rPr>
          <w:lang w:val="en-US"/>
        </w:rPr>
        <w:t xml:space="preserve">  </w:t>
      </w:r>
    </w:p>
    <w:p w:rsidR="0024131D" w:rsidRPr="00F92A95" w:rsidRDefault="00F92A95">
      <w:pPr>
        <w:spacing w:after="0" w:line="259" w:lineRule="auto"/>
        <w:ind w:left="569" w:right="0" w:firstLine="0"/>
        <w:jc w:val="left"/>
        <w:rPr>
          <w:lang w:val="en-US"/>
        </w:rPr>
      </w:pPr>
      <w:r w:rsidRPr="00F92A95">
        <w:rPr>
          <w:lang w:val="en-US"/>
        </w:rPr>
        <w:t xml:space="preserve"> </w:t>
      </w:r>
    </w:p>
    <w:p w:rsidR="0024131D" w:rsidRPr="00F92A95" w:rsidRDefault="00F92A95">
      <w:pPr>
        <w:spacing w:after="213" w:line="259" w:lineRule="auto"/>
        <w:ind w:left="588" w:right="71"/>
        <w:jc w:val="center"/>
        <w:rPr>
          <w:lang w:val="en-US"/>
        </w:rPr>
      </w:pPr>
      <w:r w:rsidRPr="00F92A95">
        <w:rPr>
          <w:b/>
          <w:lang w:val="en-US"/>
        </w:rPr>
        <w:t xml:space="preserve">Abstract </w:t>
      </w:r>
    </w:p>
    <w:p w:rsidR="0024131D" w:rsidRPr="00F92A95" w:rsidRDefault="00F92A95">
      <w:pPr>
        <w:spacing w:after="0" w:line="240" w:lineRule="auto"/>
        <w:ind w:left="579" w:right="48"/>
        <w:rPr>
          <w:lang w:val="en-US"/>
        </w:rPr>
      </w:pPr>
      <w:r w:rsidRPr="00F92A95">
        <w:rPr>
          <w:b/>
          <w:lang w:val="en-US"/>
        </w:rPr>
        <w:t xml:space="preserve">Background: </w:t>
      </w:r>
      <w:proofErr w:type="spellStart"/>
      <w:r w:rsidRPr="00F92A95">
        <w:rPr>
          <w:lang w:val="en-US"/>
        </w:rPr>
        <w:t>Hepatocarcinoma</w:t>
      </w:r>
      <w:proofErr w:type="spellEnd"/>
      <w:r w:rsidRPr="00F92A95">
        <w:rPr>
          <w:lang w:val="en-US"/>
        </w:rPr>
        <w:t xml:space="preserve"> cellular (HCC) is the sixth most common </w:t>
      </w:r>
      <w:r w:rsidRPr="00F92A95">
        <w:rPr>
          <w:lang w:val="en-US"/>
        </w:rPr>
        <w:t>type of cancer in the world, the third with the highest mortality worldwide and the sixth with highest mortality in Brazil. The worldwide incidence is variable, but estimates that by 2030, more than one million people will die because of this kind of cance</w:t>
      </w:r>
      <w:r w:rsidRPr="00F92A95">
        <w:rPr>
          <w:lang w:val="en-US"/>
        </w:rPr>
        <w:t>r in the world. Around 90% of patients with HCC initially develop cirrhosis, and the principal etiology are chronic hepatitis B and hepatitis C virus infection, Nonalcoholic liver disease (NASH) and Alcoholic liver disease. Patients with HCC in intermediat</w:t>
      </w:r>
      <w:r w:rsidRPr="00F92A95">
        <w:rPr>
          <w:lang w:val="en-US"/>
        </w:rPr>
        <w:t xml:space="preserve">e stage have </w:t>
      </w:r>
      <w:proofErr w:type="spellStart"/>
      <w:r w:rsidRPr="00F92A95">
        <w:rPr>
          <w:lang w:val="en-US"/>
        </w:rPr>
        <w:t>transarterial</w:t>
      </w:r>
      <w:proofErr w:type="spellEnd"/>
      <w:r w:rsidRPr="00F92A95">
        <w:rPr>
          <w:lang w:val="en-US"/>
        </w:rPr>
        <w:t xml:space="preserve"> chemoembolization (TC) as treatment, and patients with HCC in advanced stage have systemic chemotherapy (SC), whose Sorafenib is the main drug. </w:t>
      </w:r>
      <w:r w:rsidRPr="00F92A95">
        <w:rPr>
          <w:b/>
          <w:lang w:val="en-US"/>
        </w:rPr>
        <w:t xml:space="preserve">Objective: </w:t>
      </w:r>
      <w:r w:rsidRPr="00F92A95">
        <w:rPr>
          <w:lang w:val="en-US"/>
        </w:rPr>
        <w:t>To analyze the effectiveness of combined treatment with TC and SC in patie</w:t>
      </w:r>
      <w:r w:rsidRPr="00F92A95">
        <w:rPr>
          <w:lang w:val="en-US"/>
        </w:rPr>
        <w:t xml:space="preserve">nts with indication of CT as treatment of HCC. </w:t>
      </w:r>
      <w:r w:rsidRPr="00F92A95">
        <w:rPr>
          <w:b/>
          <w:lang w:val="en-US"/>
        </w:rPr>
        <w:t xml:space="preserve">Methodology: </w:t>
      </w:r>
      <w:r w:rsidRPr="00F92A95">
        <w:rPr>
          <w:lang w:val="en-US"/>
        </w:rPr>
        <w:t>It’s a systematic review, with active source in literature, by the definition of a specific systematized methodology, which followed the PRISMA protocol. The selected articles were Randomized Clin</w:t>
      </w:r>
      <w:r w:rsidRPr="00F92A95">
        <w:rPr>
          <w:lang w:val="en-US"/>
        </w:rPr>
        <w:t>ical Trials (RCT) from the last 15 years, in English, Portuguese or Spanish, which analyzed the combined treatment of TC and CS, comparing them to the treatment with only CT in patients with HCC, eligible for CT. The risk of bias was analyzed by the “RoB2-</w:t>
      </w:r>
      <w:r w:rsidRPr="00F92A95">
        <w:rPr>
          <w:lang w:val="en-US"/>
        </w:rPr>
        <w:t xml:space="preserve">Risk of Bias 2” and the methodology was analyzed by the CONSORT. </w:t>
      </w:r>
      <w:r w:rsidRPr="00F92A95">
        <w:rPr>
          <w:b/>
          <w:lang w:val="en-US"/>
        </w:rPr>
        <w:t xml:space="preserve">Results: </w:t>
      </w:r>
      <w:r w:rsidRPr="00F92A95">
        <w:rPr>
          <w:lang w:val="en-US"/>
        </w:rPr>
        <w:t>In this study, 338 articles were identified in electronic basis and, after analysis, 08 articles were selected. After the application of RoB2 and CONSORT, 07 RCT continued in the ana</w:t>
      </w:r>
      <w:r w:rsidRPr="00F92A95">
        <w:rPr>
          <w:lang w:val="en-US"/>
        </w:rPr>
        <w:t xml:space="preserve">lysis. In the combined treatment with CT and SC, Sorafenib was used as SC in five articles, </w:t>
      </w:r>
      <w:proofErr w:type="spellStart"/>
      <w:r w:rsidRPr="00F92A95">
        <w:rPr>
          <w:lang w:val="en-US"/>
        </w:rPr>
        <w:t>Brivanib</w:t>
      </w:r>
      <w:proofErr w:type="spellEnd"/>
      <w:r w:rsidRPr="00F92A95">
        <w:rPr>
          <w:lang w:val="en-US"/>
        </w:rPr>
        <w:t xml:space="preserve"> was used in one article, and </w:t>
      </w:r>
    </w:p>
    <w:p w:rsidR="0024131D" w:rsidRPr="00F92A95" w:rsidRDefault="00F92A95">
      <w:pPr>
        <w:spacing w:line="240" w:lineRule="auto"/>
        <w:ind w:left="579" w:right="48"/>
        <w:rPr>
          <w:lang w:val="en-US"/>
        </w:rPr>
      </w:pPr>
      <w:r w:rsidRPr="00F92A95">
        <w:rPr>
          <w:lang w:val="en-US"/>
        </w:rPr>
        <w:t>Bevacizumab was used in one article. As the outcomes, were analyzed especially, the Time to Progression (TTP), Overall Surviv</w:t>
      </w:r>
      <w:r w:rsidRPr="00F92A95">
        <w:rPr>
          <w:lang w:val="en-US"/>
        </w:rPr>
        <w:t xml:space="preserve">al (OS) and Progression Free Survival (PFS). As results, four </w:t>
      </w:r>
      <w:proofErr w:type="gramStart"/>
      <w:r w:rsidRPr="00F92A95">
        <w:rPr>
          <w:lang w:val="en-US"/>
        </w:rPr>
        <w:t>article</w:t>
      </w:r>
      <w:proofErr w:type="gramEnd"/>
      <w:r w:rsidRPr="00F92A95">
        <w:rPr>
          <w:lang w:val="en-US"/>
        </w:rPr>
        <w:t xml:space="preserve"> didn’t have TTP and OS improvement in patients that used the combined therapy, if compared to those who used only the CT. Besides, one article didn’t show tumor radiologic response impro</w:t>
      </w:r>
      <w:r w:rsidRPr="00F92A95">
        <w:rPr>
          <w:lang w:val="en-US"/>
        </w:rPr>
        <w:t xml:space="preserve">vement, one article didn’t show OS improvement, but showed PFS improvement and one article demonstrated increase in tumor TTP. Therefore, five articles were negative and two articles, positive to this study objective. </w:t>
      </w:r>
      <w:r w:rsidRPr="00F92A95">
        <w:rPr>
          <w:b/>
          <w:lang w:val="en-US"/>
        </w:rPr>
        <w:t xml:space="preserve">Conclusions: </w:t>
      </w:r>
      <w:r w:rsidRPr="00F92A95">
        <w:rPr>
          <w:lang w:val="en-US"/>
        </w:rPr>
        <w:t>It’s observed that the co</w:t>
      </w:r>
      <w:r w:rsidRPr="00F92A95">
        <w:rPr>
          <w:lang w:val="en-US"/>
        </w:rPr>
        <w:t xml:space="preserve">mbined treatment with CT and SC in patients with indication of CT didn’t have benefits, if compared with the treatment with only CT. So, the combined treatment must be realized in these patients, </w:t>
      </w:r>
      <w:r w:rsidRPr="00F92A95">
        <w:rPr>
          <w:lang w:val="en-US"/>
        </w:rPr>
        <w:lastRenderedPageBreak/>
        <w:t xml:space="preserve">but, more studies must be developed in this area, to create </w:t>
      </w:r>
      <w:r w:rsidRPr="00F92A95">
        <w:rPr>
          <w:lang w:val="en-US"/>
        </w:rPr>
        <w:t xml:space="preserve">new therapies, which increase the OS in patients with HCC. </w:t>
      </w:r>
    </w:p>
    <w:p w:rsidR="0024131D" w:rsidRDefault="00F92A95">
      <w:pPr>
        <w:spacing w:line="238" w:lineRule="auto"/>
        <w:ind w:left="579" w:right="48"/>
      </w:pPr>
      <w:r w:rsidRPr="00F92A95">
        <w:rPr>
          <w:b/>
          <w:lang w:val="en-US"/>
        </w:rPr>
        <w:t xml:space="preserve">Keywords: </w:t>
      </w:r>
      <w:r w:rsidRPr="00F92A95">
        <w:rPr>
          <w:lang w:val="en-US"/>
        </w:rPr>
        <w:t xml:space="preserve">1. Hepatocellular Carcinoma. 2. </w:t>
      </w:r>
      <w:proofErr w:type="spellStart"/>
      <w:r w:rsidRPr="00F92A95">
        <w:rPr>
          <w:lang w:val="en-US"/>
        </w:rPr>
        <w:t>Transarterial</w:t>
      </w:r>
      <w:proofErr w:type="spellEnd"/>
      <w:r w:rsidRPr="00F92A95">
        <w:rPr>
          <w:lang w:val="en-US"/>
        </w:rPr>
        <w:t xml:space="preserve"> Chemoembolization. 3. Systemic Therapy. </w:t>
      </w:r>
      <w:r>
        <w:t xml:space="preserve">4. </w:t>
      </w:r>
      <w:proofErr w:type="spellStart"/>
      <w:r>
        <w:t>Combined</w:t>
      </w:r>
      <w:proofErr w:type="spellEnd"/>
      <w:r>
        <w:t xml:space="preserve"> </w:t>
      </w:r>
      <w:proofErr w:type="spellStart"/>
      <w:r>
        <w:t>treatment</w:t>
      </w:r>
      <w:proofErr w:type="spellEnd"/>
      <w:r>
        <w:t xml:space="preserve">. </w:t>
      </w:r>
    </w:p>
    <w:p w:rsidR="0024131D" w:rsidRDefault="00F92A95">
      <w:pPr>
        <w:spacing w:after="273" w:line="259" w:lineRule="auto"/>
        <w:ind w:left="569" w:right="0" w:firstLine="0"/>
        <w:jc w:val="left"/>
      </w:pPr>
      <w:r>
        <w:t xml:space="preserve"> </w:t>
      </w:r>
    </w:p>
    <w:p w:rsidR="0024131D" w:rsidRDefault="00F92A95">
      <w:pPr>
        <w:spacing w:after="274" w:line="259" w:lineRule="auto"/>
        <w:ind w:left="569" w:right="0" w:firstLine="0"/>
        <w:jc w:val="left"/>
      </w:pPr>
      <w:r>
        <w:t xml:space="preserve"> </w:t>
      </w:r>
    </w:p>
    <w:p w:rsidR="0024131D" w:rsidRDefault="00F92A95">
      <w:pPr>
        <w:spacing w:after="273" w:line="259" w:lineRule="auto"/>
        <w:ind w:left="569" w:right="0" w:firstLine="0"/>
        <w:jc w:val="left"/>
      </w:pPr>
      <w:r>
        <w:t xml:space="preserve"> </w:t>
      </w:r>
    </w:p>
    <w:p w:rsidR="0024131D" w:rsidRDefault="00F92A95">
      <w:pPr>
        <w:spacing w:after="276" w:line="259" w:lineRule="auto"/>
        <w:ind w:left="569" w:right="0" w:firstLine="0"/>
        <w:jc w:val="left"/>
      </w:pPr>
      <w:r>
        <w:t xml:space="preserve"> </w:t>
      </w:r>
    </w:p>
    <w:p w:rsidR="0024131D" w:rsidRDefault="00F92A95">
      <w:pPr>
        <w:spacing w:after="273" w:line="259" w:lineRule="auto"/>
        <w:ind w:left="569" w:right="0" w:firstLine="0"/>
        <w:jc w:val="left"/>
      </w:pPr>
      <w:r>
        <w:t xml:space="preserve"> </w:t>
      </w:r>
    </w:p>
    <w:p w:rsidR="0024131D" w:rsidRDefault="00F92A95">
      <w:pPr>
        <w:spacing w:after="273" w:line="259" w:lineRule="auto"/>
        <w:ind w:left="569" w:right="0" w:firstLine="0"/>
        <w:jc w:val="left"/>
      </w:pPr>
      <w:r>
        <w:t xml:space="preserve"> </w:t>
      </w:r>
    </w:p>
    <w:p w:rsidR="0024131D" w:rsidRDefault="00F92A95">
      <w:pPr>
        <w:spacing w:after="273" w:line="259" w:lineRule="auto"/>
        <w:ind w:left="569" w:right="0" w:firstLine="0"/>
        <w:jc w:val="left"/>
      </w:pPr>
      <w:r>
        <w:t xml:space="preserve"> </w:t>
      </w:r>
    </w:p>
    <w:p w:rsidR="0024131D" w:rsidRDefault="00F92A95">
      <w:pPr>
        <w:spacing w:after="0" w:line="259" w:lineRule="auto"/>
        <w:ind w:left="569" w:right="0" w:firstLine="0"/>
        <w:jc w:val="left"/>
      </w:pPr>
      <w:r>
        <w:t xml:space="preserve"> </w:t>
      </w:r>
    </w:p>
    <w:p w:rsidR="0024131D" w:rsidRDefault="00F92A95">
      <w:pPr>
        <w:spacing w:after="0" w:line="259" w:lineRule="auto"/>
        <w:ind w:left="0" w:right="0" w:firstLine="0"/>
        <w:jc w:val="right"/>
      </w:pPr>
      <w:r>
        <w:t xml:space="preserve"> </w:t>
      </w:r>
    </w:p>
    <w:p w:rsidR="0024131D" w:rsidRDefault="00F92A95">
      <w:pPr>
        <w:spacing w:after="418" w:line="259" w:lineRule="auto"/>
        <w:ind w:left="569" w:right="0" w:firstLine="0"/>
        <w:jc w:val="left"/>
      </w:pPr>
      <w:r>
        <w:t xml:space="preserve"> </w:t>
      </w:r>
    </w:p>
    <w:sdt>
      <w:sdtPr>
        <w:rPr>
          <w:b w:val="0"/>
        </w:rPr>
        <w:id w:val="-621529287"/>
        <w:docPartObj>
          <w:docPartGallery w:val="Table of Contents"/>
        </w:docPartObj>
      </w:sdtPr>
      <w:sdtEndPr/>
      <w:sdtContent>
        <w:p w:rsidR="0024131D" w:rsidRDefault="00F92A95">
          <w:pPr>
            <w:pStyle w:val="Sumrio4"/>
            <w:tabs>
              <w:tab w:val="right" w:leader="dot" w:pos="9703"/>
            </w:tabs>
          </w:pPr>
          <w:r>
            <w:fldChar w:fldCharType="begin"/>
          </w:r>
          <w:r>
            <w:instrText xml:space="preserve"> TOC \o "1-4" \h \z \u </w:instrText>
          </w:r>
          <w:r>
            <w:fldChar w:fldCharType="separate"/>
          </w:r>
          <w:hyperlink w:anchor="_Toc63854">
            <w:r>
              <w:t>SUMÁRIO 1.</w:t>
            </w:r>
            <w:r>
              <w:rPr>
                <w:rFonts w:ascii="Calibri" w:eastAsia="Calibri" w:hAnsi="Calibri" w:cs="Calibri"/>
                <w:b w:val="0"/>
                <w:sz w:val="22"/>
              </w:rPr>
              <w:t xml:space="preserve">  </w:t>
            </w:r>
            <w:r>
              <w:t>Introdução</w:t>
            </w:r>
            <w:r>
              <w:tab/>
            </w:r>
            <w:r>
              <w:fldChar w:fldCharType="begin"/>
            </w:r>
            <w:r>
              <w:instrText>PAGEREF _Toc63854 \h</w:instrText>
            </w:r>
            <w:r>
              <w:fldChar w:fldCharType="separate"/>
            </w:r>
            <w:r>
              <w:t xml:space="preserve">7 </w:t>
            </w:r>
            <w:r>
              <w:fldChar w:fldCharType="end"/>
            </w:r>
          </w:hyperlink>
        </w:p>
        <w:p w:rsidR="0024131D" w:rsidRDefault="00F92A95">
          <w:pPr>
            <w:pStyle w:val="Sumrio1"/>
            <w:tabs>
              <w:tab w:val="right" w:leader="dot" w:pos="9703"/>
            </w:tabs>
          </w:pPr>
          <w:hyperlink w:anchor="_Toc63855">
            <w:r>
              <w:t>2.</w:t>
            </w:r>
            <w:r>
              <w:rPr>
                <w:rFonts w:ascii="Calibri" w:eastAsia="Calibri" w:hAnsi="Calibri" w:cs="Calibri"/>
                <w:b w:val="0"/>
                <w:sz w:val="22"/>
              </w:rPr>
              <w:t xml:space="preserve">  </w:t>
            </w:r>
            <w:r>
              <w:t>Objetivos:</w:t>
            </w:r>
            <w:r>
              <w:tab/>
            </w:r>
            <w:r>
              <w:fldChar w:fldCharType="begin"/>
            </w:r>
            <w:r>
              <w:instrText>PAGEREF _Toc63855 \h</w:instrText>
            </w:r>
            <w:r>
              <w:fldChar w:fldCharType="separate"/>
            </w:r>
            <w:r>
              <w:t xml:space="preserve">8 </w:t>
            </w:r>
            <w:r>
              <w:fldChar w:fldCharType="end"/>
            </w:r>
          </w:hyperlink>
        </w:p>
        <w:p w:rsidR="0024131D" w:rsidRDefault="00F92A95">
          <w:pPr>
            <w:pStyle w:val="Sumrio3"/>
            <w:tabs>
              <w:tab w:val="right" w:leader="dot" w:pos="9703"/>
            </w:tabs>
          </w:pPr>
          <w:hyperlink w:anchor="_Toc63856">
            <w:r>
              <w:t>2.1 Geral:</w:t>
            </w:r>
            <w:r>
              <w:tab/>
            </w:r>
            <w:r>
              <w:fldChar w:fldCharType="begin"/>
            </w:r>
            <w:r>
              <w:instrText>PAGEREF _Toc63856 \h</w:instrText>
            </w:r>
            <w:r>
              <w:fldChar w:fldCharType="separate"/>
            </w:r>
            <w:r>
              <w:t xml:space="preserve">8 </w:t>
            </w:r>
            <w:r>
              <w:fldChar w:fldCharType="end"/>
            </w:r>
          </w:hyperlink>
        </w:p>
        <w:p w:rsidR="0024131D" w:rsidRDefault="00F92A95">
          <w:pPr>
            <w:pStyle w:val="Sumrio1"/>
            <w:tabs>
              <w:tab w:val="right" w:leader="dot" w:pos="9703"/>
            </w:tabs>
          </w:pPr>
          <w:hyperlink w:anchor="_Toc63857">
            <w:r>
              <w:t>3.</w:t>
            </w:r>
            <w:r>
              <w:rPr>
                <w:rFonts w:ascii="Calibri" w:eastAsia="Calibri" w:hAnsi="Calibri" w:cs="Calibri"/>
                <w:b w:val="0"/>
                <w:sz w:val="22"/>
              </w:rPr>
              <w:t xml:space="preserve">  </w:t>
            </w:r>
            <w:r>
              <w:t>Revisão de literatura:</w:t>
            </w:r>
            <w:r>
              <w:tab/>
            </w:r>
            <w:r>
              <w:fldChar w:fldCharType="begin"/>
            </w:r>
            <w:r>
              <w:instrText>PAGEREF _Toc63857 \h</w:instrText>
            </w:r>
            <w:r>
              <w:fldChar w:fldCharType="separate"/>
            </w:r>
            <w:r>
              <w:t xml:space="preserve">8 </w:t>
            </w:r>
            <w:r>
              <w:fldChar w:fldCharType="end"/>
            </w:r>
          </w:hyperlink>
        </w:p>
        <w:p w:rsidR="0024131D" w:rsidRDefault="00F92A95">
          <w:pPr>
            <w:pStyle w:val="Sumrio1"/>
            <w:tabs>
              <w:tab w:val="right" w:leader="dot" w:pos="9703"/>
            </w:tabs>
          </w:pPr>
          <w:hyperlink w:anchor="_Toc63858">
            <w:r>
              <w:t>4.</w:t>
            </w:r>
            <w:r>
              <w:rPr>
                <w:rFonts w:ascii="Calibri" w:eastAsia="Calibri" w:hAnsi="Calibri" w:cs="Calibri"/>
                <w:b w:val="0"/>
                <w:sz w:val="22"/>
              </w:rPr>
              <w:t xml:space="preserve">  </w:t>
            </w:r>
            <w:r>
              <w:t>Metodologia</w:t>
            </w:r>
            <w:r>
              <w:tab/>
            </w:r>
            <w:r>
              <w:fldChar w:fldCharType="begin"/>
            </w:r>
            <w:r>
              <w:instrText>PAGEREF _Toc63858 \h</w:instrText>
            </w:r>
            <w:r>
              <w:fldChar w:fldCharType="separate"/>
            </w:r>
            <w:r>
              <w:t xml:space="preserve">12 </w:t>
            </w:r>
            <w:r>
              <w:fldChar w:fldCharType="end"/>
            </w:r>
          </w:hyperlink>
        </w:p>
        <w:p w:rsidR="0024131D" w:rsidRDefault="00F92A95">
          <w:pPr>
            <w:pStyle w:val="Sumrio2"/>
            <w:tabs>
              <w:tab w:val="right" w:leader="dot" w:pos="9703"/>
            </w:tabs>
          </w:pPr>
          <w:hyperlink w:anchor="_Toc63859">
            <w:r>
              <w:t>1. Desenho de estudo</w:t>
            </w:r>
            <w:r>
              <w:tab/>
            </w:r>
            <w:r>
              <w:fldChar w:fldCharType="begin"/>
            </w:r>
            <w:r>
              <w:instrText>PAGEREF _Toc63859 \h</w:instrText>
            </w:r>
            <w:r>
              <w:fldChar w:fldCharType="separate"/>
            </w:r>
            <w:r>
              <w:t xml:space="preserve">12 </w:t>
            </w:r>
            <w:r>
              <w:fldChar w:fldCharType="end"/>
            </w:r>
          </w:hyperlink>
        </w:p>
        <w:p w:rsidR="0024131D" w:rsidRDefault="00F92A95">
          <w:pPr>
            <w:pStyle w:val="Sumrio2"/>
            <w:tabs>
              <w:tab w:val="right" w:leader="dot" w:pos="9703"/>
            </w:tabs>
          </w:pPr>
          <w:hyperlink w:anchor="_Toc63860">
            <w:r>
              <w:t>2. Amostra a ser estudada</w:t>
            </w:r>
            <w:r>
              <w:tab/>
            </w:r>
            <w:r>
              <w:fldChar w:fldCharType="begin"/>
            </w:r>
            <w:r>
              <w:instrText>PAGEREF _Toc63860 \h</w:instrText>
            </w:r>
            <w:r>
              <w:fldChar w:fldCharType="separate"/>
            </w:r>
            <w:r>
              <w:t xml:space="preserve">12 </w:t>
            </w:r>
            <w:r>
              <w:fldChar w:fldCharType="end"/>
            </w:r>
          </w:hyperlink>
        </w:p>
        <w:p w:rsidR="0024131D" w:rsidRDefault="00F92A95">
          <w:pPr>
            <w:pStyle w:val="Sumrio2"/>
            <w:tabs>
              <w:tab w:val="right" w:leader="dot" w:pos="9703"/>
            </w:tabs>
          </w:pPr>
          <w:hyperlink w:anchor="_Toc63861">
            <w:r>
              <w:t>3. Instrumento de coleta de dados</w:t>
            </w:r>
            <w:r>
              <w:tab/>
            </w:r>
            <w:r>
              <w:fldChar w:fldCharType="begin"/>
            </w:r>
            <w:r>
              <w:instrText>PAGEREF _Toc63861 \h</w:instrText>
            </w:r>
            <w:r>
              <w:fldChar w:fldCharType="separate"/>
            </w:r>
            <w:r>
              <w:t xml:space="preserve">12 </w:t>
            </w:r>
            <w:r>
              <w:fldChar w:fldCharType="end"/>
            </w:r>
          </w:hyperlink>
        </w:p>
        <w:p w:rsidR="0024131D" w:rsidRDefault="00F92A95">
          <w:pPr>
            <w:pStyle w:val="Sumrio2"/>
            <w:tabs>
              <w:tab w:val="right" w:leader="dot" w:pos="9703"/>
            </w:tabs>
          </w:pPr>
          <w:hyperlink w:anchor="_Toc63862">
            <w:r>
              <w:t>4. Estratégia de busca</w:t>
            </w:r>
            <w:r>
              <w:tab/>
            </w:r>
            <w:r>
              <w:fldChar w:fldCharType="begin"/>
            </w:r>
            <w:r>
              <w:instrText>PAGEREF _Toc63862 \h</w:instrText>
            </w:r>
            <w:r>
              <w:fldChar w:fldCharType="separate"/>
            </w:r>
            <w:r>
              <w:t xml:space="preserve">13 </w:t>
            </w:r>
            <w:r>
              <w:fldChar w:fldCharType="end"/>
            </w:r>
          </w:hyperlink>
        </w:p>
        <w:p w:rsidR="0024131D" w:rsidRDefault="00F92A95">
          <w:pPr>
            <w:pStyle w:val="Sumrio2"/>
            <w:tabs>
              <w:tab w:val="right" w:leader="dot" w:pos="9703"/>
            </w:tabs>
          </w:pPr>
          <w:hyperlink w:anchor="_Toc63863">
            <w:r>
              <w:t>5. Critérios de elegibilidade</w:t>
            </w:r>
            <w:r>
              <w:tab/>
            </w:r>
            <w:r>
              <w:fldChar w:fldCharType="begin"/>
            </w:r>
            <w:r>
              <w:instrText>PAGEREF _Toc63863 \h</w:instrText>
            </w:r>
            <w:r>
              <w:fldChar w:fldCharType="separate"/>
            </w:r>
            <w:r>
              <w:t xml:space="preserve">13 </w:t>
            </w:r>
            <w:r>
              <w:fldChar w:fldCharType="end"/>
            </w:r>
          </w:hyperlink>
        </w:p>
        <w:p w:rsidR="0024131D" w:rsidRDefault="00F92A95">
          <w:pPr>
            <w:pStyle w:val="Sumrio2"/>
            <w:tabs>
              <w:tab w:val="right" w:leader="dot" w:pos="9703"/>
            </w:tabs>
          </w:pPr>
          <w:hyperlink w:anchor="_Toc63864">
            <w:r>
              <w:t>6. Variáveis do estudo</w:t>
            </w:r>
            <w:r>
              <w:tab/>
            </w:r>
            <w:r>
              <w:fldChar w:fldCharType="begin"/>
            </w:r>
            <w:r>
              <w:instrText>PAGEREF _Toc63864 \h</w:instrText>
            </w:r>
            <w:r>
              <w:fldChar w:fldCharType="separate"/>
            </w:r>
            <w:r>
              <w:t xml:space="preserve">13 </w:t>
            </w:r>
            <w:r>
              <w:fldChar w:fldCharType="end"/>
            </w:r>
          </w:hyperlink>
        </w:p>
        <w:p w:rsidR="0024131D" w:rsidRDefault="00F92A95">
          <w:pPr>
            <w:pStyle w:val="Sumrio2"/>
            <w:tabs>
              <w:tab w:val="right" w:leader="dot" w:pos="9703"/>
            </w:tabs>
          </w:pPr>
          <w:hyperlink w:anchor="_Toc63865">
            <w:r>
              <w:t>7. Etapa de coleta de dados</w:t>
            </w:r>
            <w:r>
              <w:tab/>
            </w:r>
            <w:r>
              <w:fldChar w:fldCharType="begin"/>
            </w:r>
            <w:r>
              <w:instrText>PAGEREF _Toc63865 \h</w:instrText>
            </w:r>
            <w:r>
              <w:fldChar w:fldCharType="separate"/>
            </w:r>
            <w:r>
              <w:t xml:space="preserve">14 </w:t>
            </w:r>
            <w:r>
              <w:fldChar w:fldCharType="end"/>
            </w:r>
          </w:hyperlink>
        </w:p>
        <w:p w:rsidR="0024131D" w:rsidRDefault="00F92A95">
          <w:pPr>
            <w:pStyle w:val="Sumrio2"/>
            <w:tabs>
              <w:tab w:val="right" w:leader="dot" w:pos="9703"/>
            </w:tabs>
          </w:pPr>
          <w:hyperlink w:anchor="_Toc63866">
            <w:r>
              <w:t>8. Identificação e seleção dos estudos</w:t>
            </w:r>
            <w:r>
              <w:tab/>
            </w:r>
            <w:r>
              <w:fldChar w:fldCharType="begin"/>
            </w:r>
            <w:r>
              <w:instrText>PAGEREF _Toc63866 \h</w:instrText>
            </w:r>
            <w:r>
              <w:fldChar w:fldCharType="separate"/>
            </w:r>
            <w:r>
              <w:t xml:space="preserve">14 </w:t>
            </w:r>
            <w:r>
              <w:fldChar w:fldCharType="end"/>
            </w:r>
          </w:hyperlink>
        </w:p>
        <w:p w:rsidR="0024131D" w:rsidRDefault="00F92A95">
          <w:pPr>
            <w:pStyle w:val="Sumrio2"/>
            <w:tabs>
              <w:tab w:val="right" w:leader="dot" w:pos="9703"/>
            </w:tabs>
          </w:pPr>
          <w:hyperlink w:anchor="_Toc63867">
            <w:r>
              <w:t>9. Risco de viés</w:t>
            </w:r>
            <w:r>
              <w:tab/>
            </w:r>
            <w:r>
              <w:fldChar w:fldCharType="begin"/>
            </w:r>
            <w:r>
              <w:instrText>PAGEREF _T</w:instrText>
            </w:r>
            <w:r>
              <w:instrText>oc63867 \h</w:instrText>
            </w:r>
            <w:r>
              <w:fldChar w:fldCharType="separate"/>
            </w:r>
            <w:r>
              <w:t xml:space="preserve">14 </w:t>
            </w:r>
            <w:r>
              <w:fldChar w:fldCharType="end"/>
            </w:r>
          </w:hyperlink>
        </w:p>
        <w:p w:rsidR="0024131D" w:rsidRDefault="00F92A95">
          <w:pPr>
            <w:pStyle w:val="Sumrio2"/>
            <w:tabs>
              <w:tab w:val="right" w:leader="dot" w:pos="9703"/>
            </w:tabs>
          </w:pPr>
          <w:hyperlink w:anchor="_Toc63868">
            <w:r>
              <w:t>10. Avaliação da qualidade metodológica</w:t>
            </w:r>
            <w:r>
              <w:tab/>
            </w:r>
            <w:r>
              <w:fldChar w:fldCharType="begin"/>
            </w:r>
            <w:r>
              <w:instrText>PAGEREF _Toc63868 \h</w:instrText>
            </w:r>
            <w:r>
              <w:fldChar w:fldCharType="separate"/>
            </w:r>
            <w:r>
              <w:t xml:space="preserve">15 </w:t>
            </w:r>
            <w:r>
              <w:fldChar w:fldCharType="end"/>
            </w:r>
          </w:hyperlink>
        </w:p>
        <w:p w:rsidR="0024131D" w:rsidRDefault="00F92A95">
          <w:pPr>
            <w:pStyle w:val="Sumrio2"/>
            <w:tabs>
              <w:tab w:val="right" w:leader="dot" w:pos="9703"/>
            </w:tabs>
          </w:pPr>
          <w:hyperlink w:anchor="_Toc63869">
            <w:r>
              <w:t>12. Aspectos éticos</w:t>
            </w:r>
            <w:r>
              <w:tab/>
            </w:r>
            <w:r>
              <w:fldChar w:fldCharType="begin"/>
            </w:r>
            <w:r>
              <w:instrText>PAGEREF _Toc63869 \h</w:instrText>
            </w:r>
            <w:r>
              <w:fldChar w:fldCharType="separate"/>
            </w:r>
            <w:r>
              <w:t xml:space="preserve">15 </w:t>
            </w:r>
            <w:r>
              <w:fldChar w:fldCharType="end"/>
            </w:r>
          </w:hyperlink>
        </w:p>
        <w:p w:rsidR="0024131D" w:rsidRDefault="00F92A95">
          <w:pPr>
            <w:pStyle w:val="Sumrio1"/>
            <w:tabs>
              <w:tab w:val="right" w:leader="dot" w:pos="9703"/>
            </w:tabs>
          </w:pPr>
          <w:hyperlink w:anchor="_Toc63870">
            <w:r>
              <w:t>5.</w:t>
            </w:r>
            <w:r>
              <w:rPr>
                <w:rFonts w:ascii="Calibri" w:eastAsia="Calibri" w:hAnsi="Calibri" w:cs="Calibri"/>
                <w:b w:val="0"/>
                <w:sz w:val="22"/>
              </w:rPr>
              <w:t xml:space="preserve">  </w:t>
            </w:r>
            <w:r>
              <w:t>Resultados:</w:t>
            </w:r>
            <w:r>
              <w:tab/>
            </w:r>
            <w:r>
              <w:fldChar w:fldCharType="begin"/>
            </w:r>
            <w:r>
              <w:instrText>PAGEREF _Toc63870 \h</w:instrText>
            </w:r>
            <w:r>
              <w:fldChar w:fldCharType="separate"/>
            </w:r>
            <w:r>
              <w:t xml:space="preserve">15 </w:t>
            </w:r>
            <w:r>
              <w:fldChar w:fldCharType="end"/>
            </w:r>
          </w:hyperlink>
        </w:p>
        <w:p w:rsidR="0024131D" w:rsidRDefault="00F92A95">
          <w:pPr>
            <w:pStyle w:val="Sumrio1"/>
            <w:tabs>
              <w:tab w:val="right" w:leader="dot" w:pos="9703"/>
            </w:tabs>
          </w:pPr>
          <w:hyperlink w:anchor="_Toc63871">
            <w:r>
              <w:t>6.</w:t>
            </w:r>
            <w:r>
              <w:rPr>
                <w:rFonts w:ascii="Calibri" w:eastAsia="Calibri" w:hAnsi="Calibri" w:cs="Calibri"/>
                <w:b w:val="0"/>
                <w:sz w:val="22"/>
              </w:rPr>
              <w:t xml:space="preserve">  </w:t>
            </w:r>
            <w:r>
              <w:t>Discussão:</w:t>
            </w:r>
            <w:r>
              <w:tab/>
            </w:r>
            <w:r>
              <w:fldChar w:fldCharType="begin"/>
            </w:r>
            <w:r>
              <w:instrText>PAGEREF _Toc63871 \h</w:instrText>
            </w:r>
            <w:r>
              <w:fldChar w:fldCharType="separate"/>
            </w:r>
            <w:r>
              <w:t xml:space="preserve">25 </w:t>
            </w:r>
            <w:r>
              <w:fldChar w:fldCharType="end"/>
            </w:r>
          </w:hyperlink>
        </w:p>
        <w:p w:rsidR="0024131D" w:rsidRDefault="00F92A95">
          <w:pPr>
            <w:pStyle w:val="Sumrio1"/>
            <w:tabs>
              <w:tab w:val="right" w:leader="dot" w:pos="9703"/>
            </w:tabs>
          </w:pPr>
          <w:hyperlink w:anchor="_Toc63872">
            <w:r>
              <w:t>7.</w:t>
            </w:r>
            <w:r>
              <w:rPr>
                <w:rFonts w:ascii="Calibri" w:eastAsia="Calibri" w:hAnsi="Calibri" w:cs="Calibri"/>
                <w:b w:val="0"/>
                <w:sz w:val="22"/>
              </w:rPr>
              <w:t xml:space="preserve">  </w:t>
            </w:r>
            <w:r>
              <w:t>Conclusão:</w:t>
            </w:r>
            <w:r>
              <w:tab/>
            </w:r>
            <w:r>
              <w:fldChar w:fldCharType="begin"/>
            </w:r>
            <w:r>
              <w:instrText>PAGEREF _Toc63</w:instrText>
            </w:r>
            <w:r>
              <w:instrText>872 \h</w:instrText>
            </w:r>
            <w:r>
              <w:fldChar w:fldCharType="separate"/>
            </w:r>
            <w:r>
              <w:t xml:space="preserve">27 </w:t>
            </w:r>
            <w:r>
              <w:fldChar w:fldCharType="end"/>
            </w:r>
          </w:hyperlink>
        </w:p>
        <w:p w:rsidR="0024131D" w:rsidRDefault="00F92A95">
          <w:r>
            <w:fldChar w:fldCharType="end"/>
          </w:r>
        </w:p>
      </w:sdtContent>
    </w:sdt>
    <w:p w:rsidR="0024131D" w:rsidRDefault="00F92A95">
      <w:pPr>
        <w:spacing w:after="274" w:line="259" w:lineRule="auto"/>
        <w:ind w:left="569" w:right="0" w:firstLine="0"/>
        <w:jc w:val="left"/>
      </w:pPr>
      <w:r>
        <w:t xml:space="preserve">  </w:t>
      </w:r>
    </w:p>
    <w:p w:rsidR="0024131D" w:rsidRDefault="00F92A95">
      <w:pPr>
        <w:spacing w:after="273" w:line="259" w:lineRule="auto"/>
        <w:ind w:left="569" w:right="0" w:firstLine="0"/>
        <w:jc w:val="left"/>
      </w:pPr>
      <w:r>
        <w:t xml:space="preserve"> </w:t>
      </w:r>
    </w:p>
    <w:p w:rsidR="0024131D" w:rsidRDefault="00F92A95">
      <w:pPr>
        <w:spacing w:after="273" w:line="259" w:lineRule="auto"/>
        <w:ind w:left="569" w:right="0" w:firstLine="0"/>
        <w:jc w:val="left"/>
      </w:pPr>
      <w:r>
        <w:t xml:space="preserve"> </w:t>
      </w:r>
    </w:p>
    <w:p w:rsidR="0024131D" w:rsidRDefault="00F92A95">
      <w:pPr>
        <w:spacing w:after="273" w:line="259" w:lineRule="auto"/>
        <w:ind w:left="569" w:right="0" w:firstLine="0"/>
        <w:jc w:val="left"/>
      </w:pPr>
      <w:r>
        <w:t xml:space="preserve"> </w:t>
      </w:r>
    </w:p>
    <w:p w:rsidR="0024131D" w:rsidRDefault="00F92A95">
      <w:pPr>
        <w:spacing w:after="276" w:line="259" w:lineRule="auto"/>
        <w:ind w:left="569" w:right="0" w:firstLine="0"/>
        <w:jc w:val="left"/>
      </w:pPr>
      <w:r>
        <w:t xml:space="preserve"> </w:t>
      </w:r>
    </w:p>
    <w:p w:rsidR="0024131D" w:rsidRDefault="00F92A95">
      <w:pPr>
        <w:spacing w:after="0" w:line="259" w:lineRule="auto"/>
        <w:ind w:left="569" w:right="0" w:firstLine="0"/>
        <w:jc w:val="left"/>
      </w:pPr>
      <w:r>
        <w:t xml:space="preserve"> </w:t>
      </w:r>
    </w:p>
    <w:p w:rsidR="0024131D" w:rsidRDefault="00F92A95">
      <w:pPr>
        <w:spacing w:after="295" w:line="259" w:lineRule="auto"/>
        <w:ind w:left="10" w:right="630"/>
        <w:jc w:val="right"/>
      </w:pPr>
      <w:r>
        <w:rPr>
          <w:sz w:val="20"/>
        </w:rPr>
        <w:t xml:space="preserve">7 </w:t>
      </w:r>
    </w:p>
    <w:p w:rsidR="0024131D" w:rsidRDefault="00F92A95">
      <w:pPr>
        <w:spacing w:after="278" w:line="259" w:lineRule="auto"/>
        <w:ind w:left="370" w:right="0"/>
        <w:jc w:val="left"/>
      </w:pPr>
      <w:r>
        <w:rPr>
          <w:b/>
        </w:rPr>
        <w:t>1.</w:t>
      </w:r>
      <w:r>
        <w:rPr>
          <w:rFonts w:ascii="Arial" w:eastAsia="Arial" w:hAnsi="Arial" w:cs="Arial"/>
          <w:b/>
        </w:rPr>
        <w:t xml:space="preserve"> </w:t>
      </w:r>
      <w:r>
        <w:rPr>
          <w:b/>
        </w:rPr>
        <w:t xml:space="preserve">Introdução </w:t>
      </w:r>
    </w:p>
    <w:p w:rsidR="0024131D" w:rsidRDefault="00F92A95">
      <w:pPr>
        <w:spacing w:after="201"/>
        <w:ind w:left="-5" w:right="628"/>
      </w:pPr>
      <w:r>
        <w:t xml:space="preserve">O Carcinoma Hepatocelular ou </w:t>
      </w:r>
      <w:proofErr w:type="spellStart"/>
      <w:r>
        <w:t>hepatocarcinoma</w:t>
      </w:r>
      <w:proofErr w:type="spellEnd"/>
      <w:r>
        <w:t xml:space="preserve"> (CHC) </w:t>
      </w:r>
      <w:r>
        <w:t>é o sexto tipo de câncer primário mais frequente no mundo, o terceiro com maior mortalidade mundial e o sexto, com maior mortalidade no Brasil.</w:t>
      </w:r>
      <w:r>
        <w:rPr>
          <w:vertAlign w:val="superscript"/>
        </w:rPr>
        <w:t>1</w:t>
      </w:r>
      <w:r>
        <w:t xml:space="preserve"> A incidência mundial desse tipo de tumor é variável, por conta da prevalência de fatores de risco.</w:t>
      </w:r>
      <w:r>
        <w:rPr>
          <w:vertAlign w:val="superscript"/>
        </w:rPr>
        <w:t>2</w:t>
      </w:r>
      <w:r>
        <w:t xml:space="preserve"> Com base na</w:t>
      </w:r>
      <w:r>
        <w:t>s projeções anuais, a Organização Mundial de Saúde estima que em 2030, mais de um milhão de pacientes morrerão de câncer hepático no mundo.</w:t>
      </w:r>
      <w:r>
        <w:rPr>
          <w:vertAlign w:val="superscript"/>
        </w:rPr>
        <w:t>3</w:t>
      </w:r>
      <w:r>
        <w:t xml:space="preserve"> O CHC geralmente ocorre em pacientes com Doença Parenquimatosa Crônica do Fígado, em que 90% dos tumores apresentam</w:t>
      </w:r>
      <w:r>
        <w:t xml:space="preserve"> inicialmente cirrose, a partir da qual os hepatócitos sofrem cronicamente necrose e regeneração.</w:t>
      </w:r>
      <w:r>
        <w:rPr>
          <w:vertAlign w:val="superscript"/>
        </w:rPr>
        <w:t>4</w:t>
      </w:r>
      <w:r>
        <w:t xml:space="preserve"> Ademais, as causas principais são infecção pelo Vírus da Hepatite B e da Hepatite C</w:t>
      </w:r>
      <w:r>
        <w:rPr>
          <w:vertAlign w:val="superscript"/>
        </w:rPr>
        <w:t>3</w:t>
      </w:r>
      <w:r>
        <w:t xml:space="preserve"> </w:t>
      </w:r>
      <w:r>
        <w:t xml:space="preserve">e fatores de risco comuns são a exposição a áreas endêmicas de Hepatite B ou Hepatite C, o consumo de álcool (Doença Hepática Alcóolica), alimentação não saudável (Doença Hepática não alcóolica/NASH), associada a síndrome metabólica e obesidade, exposição </w:t>
      </w:r>
      <w:r>
        <w:t xml:space="preserve">a </w:t>
      </w:r>
      <w:proofErr w:type="spellStart"/>
      <w:r>
        <w:t>aflatoxina</w:t>
      </w:r>
      <w:proofErr w:type="spellEnd"/>
      <w:r>
        <w:t xml:space="preserve"> do milho e amendoim (substância </w:t>
      </w:r>
      <w:proofErr w:type="spellStart"/>
      <w:r>
        <w:t>hepatocarcinogênica</w:t>
      </w:r>
      <w:proofErr w:type="spellEnd"/>
      <w:r>
        <w:t>), que estão diretamente relacionados com a área geográfica em que vivem, o estilo de vida dos pacientes e o fator socioeconômico.</w:t>
      </w:r>
      <w:r>
        <w:rPr>
          <w:vertAlign w:val="superscript"/>
        </w:rPr>
        <w:t>3,5</w:t>
      </w:r>
      <w:r>
        <w:t xml:space="preserve"> </w:t>
      </w:r>
    </w:p>
    <w:p w:rsidR="0024131D" w:rsidRDefault="00F92A95">
      <w:pPr>
        <w:spacing w:after="274" w:line="259" w:lineRule="auto"/>
        <w:ind w:left="0" w:right="0" w:firstLine="0"/>
        <w:jc w:val="left"/>
      </w:pPr>
      <w:r>
        <w:t xml:space="preserve"> </w:t>
      </w:r>
    </w:p>
    <w:p w:rsidR="0024131D" w:rsidRDefault="00F92A95">
      <w:pPr>
        <w:spacing w:after="181"/>
        <w:ind w:left="-5" w:right="628"/>
      </w:pPr>
      <w:r>
        <w:t>O CHC geralmente é diagnosticado em estágio mais avança</w:t>
      </w:r>
      <w:r>
        <w:t xml:space="preserve">do e o estadiamento é feito de acordo com o </w:t>
      </w:r>
      <w:r>
        <w:rPr>
          <w:i/>
        </w:rPr>
        <w:t xml:space="preserve">Barcelona </w:t>
      </w:r>
      <w:proofErr w:type="spellStart"/>
      <w:r>
        <w:rPr>
          <w:i/>
        </w:rPr>
        <w:t>Clinic</w:t>
      </w:r>
      <w:proofErr w:type="spellEnd"/>
      <w:r>
        <w:rPr>
          <w:i/>
        </w:rPr>
        <w:t xml:space="preserve"> </w:t>
      </w:r>
      <w:proofErr w:type="spellStart"/>
      <w:r>
        <w:rPr>
          <w:i/>
        </w:rPr>
        <w:t>Liver</w:t>
      </w:r>
      <w:proofErr w:type="spellEnd"/>
      <w:r>
        <w:rPr>
          <w:i/>
        </w:rPr>
        <w:t xml:space="preserve"> </w:t>
      </w:r>
      <w:proofErr w:type="spellStart"/>
      <w:r>
        <w:rPr>
          <w:i/>
        </w:rPr>
        <w:t>Cancer</w:t>
      </w:r>
      <w:proofErr w:type="spellEnd"/>
      <w:r>
        <w:t xml:space="preserve"> (BCLC) </w:t>
      </w:r>
      <w:proofErr w:type="spellStart"/>
      <w:r>
        <w:rPr>
          <w:i/>
        </w:rPr>
        <w:t>Staging</w:t>
      </w:r>
      <w:proofErr w:type="spellEnd"/>
      <w:r>
        <w:rPr>
          <w:i/>
        </w:rPr>
        <w:t xml:space="preserve"> System</w:t>
      </w:r>
      <w:r>
        <w:t>, o sistema mais amplamente utilizado e que foi introduzido em 1999 na prática clínica.</w:t>
      </w:r>
      <w:r>
        <w:rPr>
          <w:vertAlign w:val="superscript"/>
        </w:rPr>
        <w:t xml:space="preserve">3 </w:t>
      </w:r>
      <w:r>
        <w:t>O algoritmo classifica o paciente em um estágio (BCLC 0, BCLC A, BCLC B,</w:t>
      </w:r>
      <w:r>
        <w:t xml:space="preserve"> BCLC C e BCLC D) e fornece </w:t>
      </w:r>
      <w:r>
        <w:lastRenderedPageBreak/>
        <w:t xml:space="preserve">recomendações de tratamentos específicos para cada estágio, que são definidos a partir da avaliação do número e tamanho dos nódulos, presença ou ausência de invasão tumoral </w:t>
      </w:r>
      <w:proofErr w:type="spellStart"/>
      <w:r>
        <w:t>macrovascular</w:t>
      </w:r>
      <w:proofErr w:type="spellEnd"/>
      <w:r>
        <w:t xml:space="preserve"> ou espalhamento extra-hepático, função he</w:t>
      </w:r>
      <w:r>
        <w:t xml:space="preserve">pática preservada ou deteriorada (analisada pelo score </w:t>
      </w:r>
      <w:proofErr w:type="spellStart"/>
      <w:r>
        <w:rPr>
          <w:i/>
        </w:rPr>
        <w:t>Child-Turcotte-Pugh</w:t>
      </w:r>
      <w:proofErr w:type="spellEnd"/>
      <w:r>
        <w:t>) e status de performance do paciente (avaliada pela escala ECOG).</w:t>
      </w:r>
      <w:r>
        <w:rPr>
          <w:vertAlign w:val="superscript"/>
        </w:rPr>
        <w:t>3</w:t>
      </w:r>
      <w:r>
        <w:t xml:space="preserve"> </w:t>
      </w:r>
    </w:p>
    <w:p w:rsidR="0024131D" w:rsidRDefault="00F92A95">
      <w:pPr>
        <w:spacing w:after="273" w:line="259" w:lineRule="auto"/>
        <w:ind w:left="0" w:right="0" w:firstLine="0"/>
        <w:jc w:val="left"/>
      </w:pPr>
      <w:r>
        <w:t xml:space="preserve"> </w:t>
      </w:r>
    </w:p>
    <w:p w:rsidR="0024131D" w:rsidRDefault="00F92A95">
      <w:pPr>
        <w:spacing w:after="0"/>
        <w:ind w:left="-5" w:right="630"/>
      </w:pPr>
      <w:r>
        <w:t>Nos últimos anos, o tratamento de CHC evoluiu de forma considerável e os pacientes podem beneficiar-se de trata</w:t>
      </w:r>
      <w:r>
        <w:t>mentos que melhoram a sobrevida, independentemente do estágio evolutivo que a doença se apresenta no momento do diagnóstico.</w:t>
      </w:r>
      <w:r>
        <w:rPr>
          <w:vertAlign w:val="superscript"/>
        </w:rPr>
        <w:t>2</w:t>
      </w:r>
      <w:r>
        <w:t xml:space="preserve"> Os pacientes com CHC em estágio intermediário (BCLC B) apresentam como o tratamento padrão, a </w:t>
      </w:r>
      <w:proofErr w:type="spellStart"/>
      <w:r>
        <w:t>Quimioembolização</w:t>
      </w:r>
      <w:proofErr w:type="spellEnd"/>
      <w:r>
        <w:t xml:space="preserve"> </w:t>
      </w:r>
    </w:p>
    <w:p w:rsidR="0024131D" w:rsidRDefault="00F92A95">
      <w:pPr>
        <w:ind w:left="-5" w:right="48"/>
      </w:pPr>
      <w:proofErr w:type="spellStart"/>
      <w:r>
        <w:t>Transarterial</w:t>
      </w:r>
      <w:proofErr w:type="spellEnd"/>
      <w:r>
        <w:t xml:space="preserve"> (QT</w:t>
      </w:r>
      <w:r>
        <w:t>), ao passo que pacientes com CHC em estágio avançado (BCLC C), têm como tratamento indicado, a Quimioterapia Sistêmica (QS). Ambos os tratamentos não são curativos, e visam aumentar a sobrevida dos pacientes nesses estágios de tumor. Apesar desse estadiam</w:t>
      </w:r>
      <w:r>
        <w:t>ento, há algumas exceções quanto ao tratamento de cada estágio, a partir das quais, pacientes BCLC A ou BCLC C também podem beneficiar-se da QT.</w:t>
      </w:r>
      <w:r>
        <w:rPr>
          <w:vertAlign w:val="superscript"/>
        </w:rPr>
        <w:t>6</w:t>
      </w:r>
      <w:r>
        <w:t xml:space="preserve"> </w:t>
      </w:r>
    </w:p>
    <w:p w:rsidR="0024131D" w:rsidRDefault="00F92A95">
      <w:pPr>
        <w:spacing w:after="273" w:line="259" w:lineRule="auto"/>
        <w:ind w:left="0" w:right="0" w:firstLine="0"/>
        <w:jc w:val="left"/>
      </w:pPr>
      <w:r>
        <w:t xml:space="preserve"> </w:t>
      </w:r>
    </w:p>
    <w:p w:rsidR="0024131D" w:rsidRDefault="00F92A95">
      <w:pPr>
        <w:ind w:left="-5" w:right="629"/>
      </w:pPr>
      <w:r>
        <w:t>Recentemente, têm sido desenvolvidos estudos sobre a eficácia do tratamento combinado de QT e QS em pacient</w:t>
      </w:r>
      <w:r>
        <w:t>es com indicação de QT como tratamento de CHC. Esse tratamento combinado seria importante para melhorar a sobrevida, a qualidade de vida dos pacientes e o prognóstico do tumor, à medida que em teoria, seriam mais efetivos do que o tratamento com apenas a Q</w:t>
      </w:r>
      <w:r>
        <w:t>T. A Revisão Sistemática acerca de Ensaios Clínicos Randomizados sobre a comparação entre o tratamento combinado e apenas o tratamento com QT, portanto, é essencial, à medida que o CHC é um tumor comum, agressivo</w:t>
      </w:r>
      <w:r>
        <w:rPr>
          <w:strike/>
        </w:rPr>
        <w:t>,</w:t>
      </w:r>
      <w:r>
        <w:t xml:space="preserve"> com alta mortalidade e morbidade, geralmen</w:t>
      </w:r>
      <w:r>
        <w:t xml:space="preserve">te é diagnosticado quando está em um estágio avançado, em que muitas vezes, não há possibilidade de tratamento curativo e a sobrevida dos pacientes é baixa. Dessa forma, esse trabalho é importante para a comunidade científica e sobretudo, os pacientes com </w:t>
      </w:r>
      <w:r>
        <w:t>CHC com indicação de realização da QT, à medida que poderá mostrar melhora do prognóstico e aumento da expectativa de vida desses pacientes ou poderá alertar a comunidade científica sobre o risco de expor os pacientes a dois tratamentos distintos (QT e QS)</w:t>
      </w:r>
      <w:r>
        <w:t>.</w:t>
      </w:r>
      <w:r>
        <w:rPr>
          <w:color w:val="FF0000"/>
        </w:rPr>
        <w:t xml:space="preserve"> </w:t>
      </w:r>
    </w:p>
    <w:p w:rsidR="0024131D" w:rsidRDefault="00F92A95">
      <w:pPr>
        <w:spacing w:after="276" w:line="259" w:lineRule="auto"/>
        <w:ind w:left="0" w:right="0" w:firstLine="0"/>
        <w:jc w:val="left"/>
      </w:pPr>
      <w:r>
        <w:rPr>
          <w:b/>
        </w:rPr>
        <w:t xml:space="preserve"> </w:t>
      </w:r>
    </w:p>
    <w:p w:rsidR="0024131D" w:rsidRDefault="00F92A95">
      <w:pPr>
        <w:pStyle w:val="Ttulo1"/>
        <w:ind w:left="370"/>
      </w:pPr>
      <w:bookmarkStart w:id="1" w:name="_Toc63855"/>
      <w:r>
        <w:lastRenderedPageBreak/>
        <w:t>2.</w:t>
      </w:r>
      <w:r>
        <w:rPr>
          <w:rFonts w:ascii="Arial" w:eastAsia="Arial" w:hAnsi="Arial" w:cs="Arial"/>
        </w:rPr>
        <w:t xml:space="preserve"> </w:t>
      </w:r>
      <w:r>
        <w:t xml:space="preserve">Objetivos: </w:t>
      </w:r>
      <w:bookmarkEnd w:id="1"/>
    </w:p>
    <w:p w:rsidR="0024131D" w:rsidRDefault="00F92A95">
      <w:pPr>
        <w:pStyle w:val="Ttulo3"/>
        <w:ind w:left="-5"/>
      </w:pPr>
      <w:bookmarkStart w:id="2" w:name="_Toc63856"/>
      <w:r>
        <w:t>2.1 Geral:</w:t>
      </w:r>
      <w:r>
        <w:rPr>
          <w:b w:val="0"/>
        </w:rPr>
        <w:t xml:space="preserve"> </w:t>
      </w:r>
      <w:bookmarkEnd w:id="2"/>
    </w:p>
    <w:p w:rsidR="0024131D" w:rsidRDefault="00F92A95">
      <w:pPr>
        <w:ind w:left="-5" w:right="48"/>
      </w:pPr>
      <w:r>
        <w:t xml:space="preserve">Analisar a eficácia do tratamento combinado de QT e QS em pacientes com indicação de QT como tratamento de CHC. </w:t>
      </w:r>
    </w:p>
    <w:p w:rsidR="0024131D" w:rsidRDefault="00F92A95">
      <w:pPr>
        <w:spacing w:after="277" w:line="259" w:lineRule="auto"/>
        <w:ind w:left="0" w:right="0" w:firstLine="0"/>
        <w:jc w:val="left"/>
      </w:pPr>
      <w:r>
        <w:t xml:space="preserve"> </w:t>
      </w:r>
    </w:p>
    <w:p w:rsidR="0024131D" w:rsidRDefault="00F92A95">
      <w:pPr>
        <w:pStyle w:val="Ttulo1"/>
        <w:ind w:left="370"/>
      </w:pPr>
      <w:bookmarkStart w:id="3" w:name="_Toc63857"/>
      <w:r>
        <w:t>3.</w:t>
      </w:r>
      <w:r>
        <w:rPr>
          <w:rFonts w:ascii="Arial" w:eastAsia="Arial" w:hAnsi="Arial" w:cs="Arial"/>
        </w:rPr>
        <w:t xml:space="preserve"> </w:t>
      </w:r>
      <w:r>
        <w:t xml:space="preserve">Revisão de literatura: </w:t>
      </w:r>
      <w:bookmarkEnd w:id="3"/>
    </w:p>
    <w:p w:rsidR="0024131D" w:rsidRDefault="00F92A95">
      <w:pPr>
        <w:spacing w:after="194"/>
        <w:ind w:left="-5" w:right="627"/>
      </w:pPr>
      <w:r>
        <w:t>O CHC é o tumor primário de fígado (desenvolve-</w:t>
      </w:r>
      <w:r>
        <w:t>se a partir dos hepatócitos) mais comum, sendo o quarto câncer com maior mortalidade mundial,</w:t>
      </w:r>
      <w:r>
        <w:rPr>
          <w:vertAlign w:val="superscript"/>
        </w:rPr>
        <w:t>3</w:t>
      </w:r>
      <w:r>
        <w:t xml:space="preserve"> que tem como principal fator de risco, a presença de cirrose subjacente</w:t>
      </w:r>
      <w:r>
        <w:rPr>
          <w:vertAlign w:val="superscript"/>
        </w:rPr>
        <w:t>5</w:t>
      </w:r>
      <w:r>
        <w:t>, e ocorre, majoritariamente, nesses pacientes.</w:t>
      </w:r>
      <w:r>
        <w:rPr>
          <w:vertAlign w:val="superscript"/>
        </w:rPr>
        <w:t xml:space="preserve">2 </w:t>
      </w:r>
      <w:r>
        <w:t xml:space="preserve">As principais etiologias relacionadas a </w:t>
      </w:r>
      <w:r>
        <w:t xml:space="preserve">este tipo de tumor sólido são: infecção crônica pelo vírus da hepatite B e da hepatite C, em que inicialmente o paciente apresenta uma infecção viral aguda e ao longo do tempo, caso não tratado, a infecção pode </w:t>
      </w:r>
      <w:proofErr w:type="spellStart"/>
      <w:r>
        <w:t>cronificar</w:t>
      </w:r>
      <w:proofErr w:type="spellEnd"/>
      <w:r>
        <w:t>, e dessa forma, evoluir para um qu</w:t>
      </w:r>
      <w:r>
        <w:t>adro de cirrose (fator de risco para CHC). Além disso, outras causas importantes são a doença hepática alcóolica, na qual, cronicamente, em uma relação dose-dependente, o paciente pode desenvolver cirrose e posteriormente, evoluir para CHC, e a exposição a</w:t>
      </w:r>
      <w:r>
        <w:t xml:space="preserve"> </w:t>
      </w:r>
      <w:proofErr w:type="spellStart"/>
      <w:r>
        <w:t>aflatoxina</w:t>
      </w:r>
      <w:proofErr w:type="spellEnd"/>
      <w:r>
        <w:t xml:space="preserve">, uma </w:t>
      </w:r>
      <w:proofErr w:type="spellStart"/>
      <w:r>
        <w:t>micotoxina</w:t>
      </w:r>
      <w:proofErr w:type="spellEnd"/>
      <w:r>
        <w:t xml:space="preserve"> fúngica presente no amendoim e no milho, que apresenta propriedades hepatocarcinogênicas.</w:t>
      </w:r>
      <w:r>
        <w:rPr>
          <w:vertAlign w:val="superscript"/>
        </w:rPr>
        <w:t>5</w:t>
      </w:r>
      <w:r>
        <w:t xml:space="preserve"> </w:t>
      </w:r>
    </w:p>
    <w:p w:rsidR="0024131D" w:rsidRDefault="00F92A95">
      <w:pPr>
        <w:spacing w:after="274" w:line="259" w:lineRule="auto"/>
        <w:ind w:left="0" w:right="0" w:firstLine="0"/>
        <w:jc w:val="left"/>
      </w:pPr>
      <w:r>
        <w:t xml:space="preserve"> </w:t>
      </w:r>
    </w:p>
    <w:p w:rsidR="0024131D" w:rsidRDefault="00F92A95">
      <w:pPr>
        <w:ind w:left="-5" w:right="627"/>
      </w:pPr>
      <w:r>
        <w:t>Atualmente, observa-se uma tendência de risco de desenvolvimento de CHC, relacionada a doença hepática gordurosa não alcóolica (NASH),</w:t>
      </w:r>
      <w:r>
        <w:t xml:space="preserve"> síndrome metabólica e obesidade, e </w:t>
      </w:r>
      <w:proofErr w:type="spellStart"/>
      <w:r>
        <w:t>esperase</w:t>
      </w:r>
      <w:proofErr w:type="spellEnd"/>
      <w:r>
        <w:t xml:space="preserve"> que essa associação se torne a principal causa de CHC em países do Ocidente nos próximos anos.</w:t>
      </w:r>
      <w:r>
        <w:rPr>
          <w:vertAlign w:val="superscript"/>
        </w:rPr>
        <w:t>3</w:t>
      </w:r>
      <w:r>
        <w:t xml:space="preserve"> É indicado que os pacientes que apresentem fatores de risco para o desenvolvimento de CHC, realizem o rastreamento </w:t>
      </w:r>
      <w:r>
        <w:t>a cada 6 meses, visto que o CHC é um tumor comum, com alta mortalidade, tratamento curativo recomendado, a depender do estágio do tumor, e que apresenta população com maior risco bem delimitada.</w:t>
      </w:r>
      <w:r>
        <w:rPr>
          <w:vertAlign w:val="superscript"/>
        </w:rPr>
        <w:t>5</w:t>
      </w:r>
      <w:r>
        <w:t xml:space="preserve"> O rastreamento é realizado através da Ultrassonografia de ab</w:t>
      </w:r>
      <w:r>
        <w:t>dome (USG), duas vezes ao ano, nesse perfil de paciente com fator de risco bem delimitado (Doença Hepática Crônica),</w:t>
      </w:r>
      <w:r>
        <w:rPr>
          <w:vertAlign w:val="superscript"/>
        </w:rPr>
        <w:t>2</w:t>
      </w:r>
      <w:r>
        <w:t xml:space="preserve"> e com frequência, o tumor é diagnosticado em estágios nos quais a terapia curativa não é mais viável, o que torna a USG ainda mais importa</w:t>
      </w:r>
      <w:r>
        <w:t xml:space="preserve">nte. O diagnóstico do CHC é dado principalmente através de outros métodos de imagem, como a Tomografia Computadorizada de Abdome contrastada e a Ressonância Magnética de Abdome contrastada, em que o tumor aparece com um padrão de </w:t>
      </w:r>
      <w:proofErr w:type="spellStart"/>
      <w:r>
        <w:t>hipervascularização</w:t>
      </w:r>
      <w:proofErr w:type="spellEnd"/>
      <w:r>
        <w:t xml:space="preserve"> na fas</w:t>
      </w:r>
      <w:r>
        <w:t>e arterial de contraste e “</w:t>
      </w:r>
      <w:proofErr w:type="spellStart"/>
      <w:r>
        <w:rPr>
          <w:i/>
        </w:rPr>
        <w:t>Wash</w:t>
      </w:r>
      <w:proofErr w:type="spellEnd"/>
      <w:r>
        <w:rPr>
          <w:i/>
        </w:rPr>
        <w:t xml:space="preserve"> out</w:t>
      </w:r>
      <w:r>
        <w:t>” /</w:t>
      </w:r>
      <w:proofErr w:type="spellStart"/>
      <w:r>
        <w:t>hipointensidade</w:t>
      </w:r>
      <w:proofErr w:type="spellEnd"/>
      <w:r>
        <w:t xml:space="preserve"> nas fases tardias (venosa e portal).</w:t>
      </w:r>
      <w:r>
        <w:rPr>
          <w:vertAlign w:val="superscript"/>
        </w:rPr>
        <w:t>5</w:t>
      </w:r>
      <w:r>
        <w:t xml:space="preserve"> </w:t>
      </w:r>
    </w:p>
    <w:p w:rsidR="0024131D" w:rsidRDefault="00F92A95">
      <w:pPr>
        <w:spacing w:after="274" w:line="259" w:lineRule="auto"/>
        <w:ind w:left="0" w:right="0" w:firstLine="0"/>
        <w:jc w:val="left"/>
      </w:pPr>
      <w:r>
        <w:lastRenderedPageBreak/>
        <w:t xml:space="preserve"> </w:t>
      </w:r>
    </w:p>
    <w:p w:rsidR="0024131D" w:rsidRDefault="00F92A95">
      <w:pPr>
        <w:ind w:left="-5" w:right="627"/>
      </w:pPr>
      <w:r>
        <w:t xml:space="preserve">Os pacientes em estágio muito inicial (BCLC 0) possuem um único nódulo hepático menor ou igual a </w:t>
      </w:r>
      <w:r>
        <w:t xml:space="preserve">2 cm, com função hepática preservada, bom status de desempenho (ECOG 0) e sem metástase ou invasão </w:t>
      </w:r>
      <w:proofErr w:type="spellStart"/>
      <w:r>
        <w:t>macrovascular</w:t>
      </w:r>
      <w:proofErr w:type="spellEnd"/>
      <w:r>
        <w:t>, e nesses pacientes o tratamento curativo é indicado (ressecção hepática ou ablação) e geralmente, há uma sobrevida maior que 5 anos.</w:t>
      </w:r>
      <w:r>
        <w:rPr>
          <w:vertAlign w:val="superscript"/>
        </w:rPr>
        <w:t>3</w:t>
      </w:r>
      <w:r>
        <w:t xml:space="preserve"> Enfermos</w:t>
      </w:r>
      <w:r>
        <w:t xml:space="preserve"> em estágio inicial (BCLC A) apresentam um único tumor maior que 2 cm ou no máximo 3 tumores, se todos possuírem diâmetro menor ou igual a 3 cm, com função hepática presente, bom status de desempenho (ECOG 0) e sem a presença de invasão </w:t>
      </w:r>
      <w:proofErr w:type="spellStart"/>
      <w:r>
        <w:t>macrovascular</w:t>
      </w:r>
      <w:proofErr w:type="spellEnd"/>
      <w:r>
        <w:t xml:space="preserve"> ou </w:t>
      </w:r>
      <w:proofErr w:type="spellStart"/>
      <w:r>
        <w:t>ex</w:t>
      </w:r>
      <w:r>
        <w:t>trahepática</w:t>
      </w:r>
      <w:proofErr w:type="spellEnd"/>
      <w:r>
        <w:t>, cuja terapia de indicação é curativa (Transplante, Ressecção ou Ablação)</w:t>
      </w:r>
      <w:r>
        <w:rPr>
          <w:vertAlign w:val="superscript"/>
        </w:rPr>
        <w:t>3</w:t>
      </w:r>
      <w:r>
        <w:t xml:space="preserve"> e a sobrevida desses pacientes, frequentemente é maior que 5 anos.</w:t>
      </w:r>
      <w:r>
        <w:rPr>
          <w:vertAlign w:val="superscript"/>
        </w:rPr>
        <w:t>3</w:t>
      </w:r>
      <w:r>
        <w:t xml:space="preserve"> </w:t>
      </w:r>
    </w:p>
    <w:p w:rsidR="0024131D" w:rsidRDefault="00F92A95">
      <w:pPr>
        <w:spacing w:after="273" w:line="259" w:lineRule="auto"/>
        <w:ind w:left="0" w:right="0" w:firstLine="0"/>
        <w:jc w:val="left"/>
      </w:pPr>
      <w:r>
        <w:t xml:space="preserve"> </w:t>
      </w:r>
    </w:p>
    <w:p w:rsidR="0024131D" w:rsidRDefault="00F92A95">
      <w:pPr>
        <w:spacing w:after="3"/>
        <w:ind w:left="-5" w:right="627"/>
      </w:pPr>
      <w:r>
        <w:t xml:space="preserve">Enfermos com CHC em estágio intermediário (BCLC B), cuja função hepática é mantida, apresentam </w:t>
      </w:r>
      <w:r>
        <w:t xml:space="preserve">mais de 3 nódulos ou 2 nódulos, se pelo menos um possui diâmetro maior que 3 cm, além disso, a performance de status do paciente é boa (ECOG 0) e não tem metástase nem invasão </w:t>
      </w:r>
      <w:proofErr w:type="spellStart"/>
      <w:r>
        <w:t>macrovascular</w:t>
      </w:r>
      <w:proofErr w:type="spellEnd"/>
      <w:r>
        <w:t>, apresentam como indicação, o tratamento com a QT.</w:t>
      </w:r>
      <w:r>
        <w:rPr>
          <w:vertAlign w:val="superscript"/>
        </w:rPr>
        <w:t xml:space="preserve">3 </w:t>
      </w:r>
      <w:r>
        <w:t>Em doentes com</w:t>
      </w:r>
      <w:r>
        <w:t xml:space="preserve"> estágio avançado (BCLC C), com ou sem invasão </w:t>
      </w:r>
      <w:proofErr w:type="spellStart"/>
      <w:r>
        <w:t>macrovascular</w:t>
      </w:r>
      <w:proofErr w:type="spellEnd"/>
      <w:r>
        <w:t xml:space="preserve"> ou espalhamento </w:t>
      </w:r>
      <w:proofErr w:type="spellStart"/>
      <w:r>
        <w:t>extrahepática</w:t>
      </w:r>
      <w:proofErr w:type="spellEnd"/>
      <w:r>
        <w:t>, que denotam um status de performance menor (ECOG 1-2), porém com função hepática preservada, o tratamento indicado é a (QS), havendo frequentemente uma sobrevida qu</w:t>
      </w:r>
      <w:r>
        <w:t>e varia entre 8 e 13 meses, de acordo com o medicamento utilizado.</w:t>
      </w:r>
      <w:r>
        <w:rPr>
          <w:vertAlign w:val="superscript"/>
        </w:rPr>
        <w:t>3</w:t>
      </w:r>
      <w:r>
        <w:t xml:space="preserve"> Já no estágio BCLC D, em que a função hepática está em estágio final, o status de performance (ECOG) é maior que </w:t>
      </w:r>
    </w:p>
    <w:p w:rsidR="0024131D" w:rsidRDefault="00F92A95">
      <w:pPr>
        <w:spacing w:after="285" w:line="259" w:lineRule="auto"/>
        <w:ind w:left="-5" w:right="48"/>
      </w:pPr>
      <w:r>
        <w:t>2, o tratamento indicado é paliativo e a sobrevida é em torno de 3 meses.</w:t>
      </w:r>
      <w:r>
        <w:rPr>
          <w:vertAlign w:val="superscript"/>
        </w:rPr>
        <w:t>3</w:t>
      </w:r>
      <w:r>
        <w:t xml:space="preserve"> </w:t>
      </w:r>
    </w:p>
    <w:p w:rsidR="0024131D" w:rsidRDefault="00F92A95">
      <w:pPr>
        <w:spacing w:after="278" w:line="259" w:lineRule="auto"/>
        <w:ind w:left="0" w:right="0" w:firstLine="0"/>
        <w:jc w:val="left"/>
      </w:pPr>
      <w:r>
        <w:t xml:space="preserve"> </w:t>
      </w:r>
    </w:p>
    <w:p w:rsidR="0024131D" w:rsidRDefault="00F92A95">
      <w:pPr>
        <w:spacing w:after="175"/>
        <w:ind w:left="-5" w:right="628"/>
      </w:pPr>
      <w:r>
        <w:t>A QT, cuja sigla em inglês é “TACE” (</w:t>
      </w:r>
      <w:proofErr w:type="spellStart"/>
      <w:r>
        <w:rPr>
          <w:i/>
        </w:rPr>
        <w:t>Transarterial</w:t>
      </w:r>
      <w:proofErr w:type="spellEnd"/>
      <w:r>
        <w:rPr>
          <w:i/>
        </w:rPr>
        <w:t xml:space="preserve"> </w:t>
      </w:r>
      <w:proofErr w:type="spellStart"/>
      <w:r>
        <w:rPr>
          <w:i/>
        </w:rPr>
        <w:t>Chemoembolization</w:t>
      </w:r>
      <w:proofErr w:type="spellEnd"/>
      <w:r>
        <w:t>), é um método utilizado para pacientes com CHC em estágio intermediário (BCLC B), a qual pode ser realizada através do método convencional ou do uso de esferas de eluição de drogas, e</w:t>
      </w:r>
      <w:r>
        <w:t>m que nesse último método, observou-se menos efeitos adversos.</w:t>
      </w:r>
      <w:r>
        <w:rPr>
          <w:vertAlign w:val="superscript"/>
        </w:rPr>
        <w:t>3</w:t>
      </w:r>
      <w:r>
        <w:t xml:space="preserve"> Além disso, há algumas exceções que permitem que a QT seja utilizada em pacientes BCLC A ou BCLC C, a depender do perfil do paciente.</w:t>
      </w:r>
      <w:r>
        <w:rPr>
          <w:vertAlign w:val="superscript"/>
        </w:rPr>
        <w:t>6</w:t>
      </w:r>
      <w:r>
        <w:t xml:space="preserve"> Nesses casos, em pacientes BCLC A, os tratamentos cirúrgi</w:t>
      </w:r>
      <w:r>
        <w:t>cos curativos ou a ablação não são indicados, seja por conta da idade, de comorbidades específicas que limitam o paciente, disfunção hepática, ou seja por conta da limitação da lista de espera de transplantes, a partir da qual, o paciente é elegível para t</w:t>
      </w:r>
      <w:r>
        <w:t>ransplante, mas a TACE é indicada como uma terapia secundária, enquanto o paciente espera, ou como uma terapia para regressão do tumor, o que permitiria o transplante hepático, após a regressão.</w:t>
      </w:r>
      <w:r>
        <w:rPr>
          <w:vertAlign w:val="superscript"/>
        </w:rPr>
        <w:t>6</w:t>
      </w:r>
      <w:r>
        <w:t xml:space="preserve"> Ademais, em casos de contraindicação de ablação, como em pac</w:t>
      </w:r>
      <w:r>
        <w:t xml:space="preserve">ientes que apresentam tumores subescapulares ou próximos aos grandes </w:t>
      </w:r>
      <w:r>
        <w:lastRenderedPageBreak/>
        <w:t>vasos e ao ducto biliar, a TACE também pode ser indicada.</w:t>
      </w:r>
      <w:r>
        <w:rPr>
          <w:vertAlign w:val="superscript"/>
        </w:rPr>
        <w:t xml:space="preserve">6 </w:t>
      </w:r>
      <w:r>
        <w:t>Nesses casos, estudos têm demonstrados benefícios no uso de QT em pacientes com CHC em estágio inicial. A QT também pode ser ind</w:t>
      </w:r>
      <w:r>
        <w:t>icada em alguns casos específicos de pacientes com CHC avançado (estágio BCLC C). Nessas situações, o paciente apresenta uma trombose tumoral de veia porta segmentar ou subsegmentar, com preservação de função hepática, secundária à presença de vasos colate</w:t>
      </w:r>
      <w:r>
        <w:t>rais ao redor da veia porta.</w:t>
      </w:r>
      <w:r>
        <w:rPr>
          <w:vertAlign w:val="superscript"/>
        </w:rPr>
        <w:t>6</w:t>
      </w:r>
      <w:r>
        <w:t xml:space="preserve"> </w:t>
      </w:r>
    </w:p>
    <w:p w:rsidR="0024131D" w:rsidRDefault="00F92A95">
      <w:pPr>
        <w:spacing w:after="273" w:line="259" w:lineRule="auto"/>
        <w:ind w:left="0" w:right="0" w:firstLine="0"/>
        <w:jc w:val="left"/>
      </w:pPr>
      <w:r>
        <w:t xml:space="preserve"> </w:t>
      </w:r>
    </w:p>
    <w:p w:rsidR="0024131D" w:rsidRDefault="00F92A95">
      <w:pPr>
        <w:ind w:left="-5" w:right="629"/>
      </w:pPr>
      <w:r>
        <w:t>O CHC é um tumor com uma alta vascularização, e a artéria Hepática apresenta ramos que são responsáveis por irrigar esse tumor. O objetivo da QT é alcançar as artérias que realizam a irrigação do tumor, promover a embolizaç</w:t>
      </w:r>
      <w:r>
        <w:t>ão arterial e a assim, a necrose tumoral. Isso é realizado através da inserção de um cateter na artéria femoral do paciente, e a partir disso, o cateter alcança a artéria hepática e ao nível dos ramos arteriais hepáticos que nutrem o tumor, são injetados a</w:t>
      </w:r>
      <w:r>
        <w:t>gentes citotóxicos, os quais promovem a embolização arterial das artérias que alimentam o tumor, com interrupção do suprimento sanguíneo tumoral, e consequente necrose, seguida por isquemia.</w:t>
      </w:r>
      <w:r>
        <w:rPr>
          <w:vertAlign w:val="superscript"/>
        </w:rPr>
        <w:t xml:space="preserve">5 </w:t>
      </w:r>
      <w:r>
        <w:t>Dessa forma, essa terapia é local, com preservação do tecido não</w:t>
      </w:r>
      <w:r>
        <w:t xml:space="preserve"> tumoral, visto que o suprimento hepático é realizado, principalmente, pela veia porta e com esse método, há uma isquemia dos ramos da artéria hepática que nutre o tumor.</w:t>
      </w:r>
      <w:r>
        <w:rPr>
          <w:vertAlign w:val="superscript"/>
        </w:rPr>
        <w:t>5</w:t>
      </w:r>
      <w:r>
        <w:t xml:space="preserve"> Portanto, esse tratamento visa principalmente, reduzir o tamanho tumoral e, dessa fo</w:t>
      </w:r>
      <w:r>
        <w:t>rma, promover uma regressão do estágio tumoral, com consequente viabilidade de realização de terapia curativa (Transplante, Ablação ou Ressecção), que no estágio BCLC B não é indicado. Além disso, a sobrevida dos pacientes que realizam esse método geralmen</w:t>
      </w:r>
      <w:r>
        <w:t>te é maior que 2 anos.</w:t>
      </w:r>
      <w:r>
        <w:rPr>
          <w:vertAlign w:val="superscript"/>
        </w:rPr>
        <w:t>3</w:t>
      </w:r>
      <w:r>
        <w:t xml:space="preserve"> </w:t>
      </w:r>
    </w:p>
    <w:p w:rsidR="0024131D" w:rsidRDefault="00F92A95">
      <w:pPr>
        <w:spacing w:after="273" w:line="259" w:lineRule="auto"/>
        <w:ind w:left="0" w:right="0" w:firstLine="0"/>
        <w:jc w:val="left"/>
      </w:pPr>
      <w:r>
        <w:t xml:space="preserve"> </w:t>
      </w:r>
    </w:p>
    <w:p w:rsidR="0024131D" w:rsidRDefault="00F92A95">
      <w:pPr>
        <w:spacing w:after="177"/>
        <w:ind w:left="-5" w:right="628"/>
      </w:pPr>
      <w:r>
        <w:t xml:space="preserve">A QS é um tratamento sistêmico, feita através da ingestão via oral ou subcutânea/venosa de drogas que regulam vias moleculares de proliferação e sobrevida de células, além de bloquear sinalizações relacionadas ao desenvolvimento </w:t>
      </w:r>
      <w:r>
        <w:t xml:space="preserve">do tumor, como as vias da angiogênese e da </w:t>
      </w:r>
      <w:proofErr w:type="spellStart"/>
      <w:r>
        <w:t>telomerase</w:t>
      </w:r>
      <w:proofErr w:type="spellEnd"/>
      <w:r>
        <w:t xml:space="preserve"> e inibir fatores de crescimento tumoral.</w:t>
      </w:r>
      <w:r>
        <w:rPr>
          <w:vertAlign w:val="superscript"/>
        </w:rPr>
        <w:t>5</w:t>
      </w:r>
      <w:r>
        <w:t xml:space="preserve"> A principal droga oral utilizada como primeira linha é o </w:t>
      </w:r>
      <w:proofErr w:type="spellStart"/>
      <w:r>
        <w:t>Sorafenib</w:t>
      </w:r>
      <w:proofErr w:type="spellEnd"/>
      <w:r>
        <w:t xml:space="preserve">, primeira medicação aprovada pela </w:t>
      </w:r>
      <w:proofErr w:type="spellStart"/>
      <w:r>
        <w:rPr>
          <w:i/>
        </w:rPr>
        <w:t>Food</w:t>
      </w:r>
      <w:proofErr w:type="spellEnd"/>
      <w:r>
        <w:rPr>
          <w:i/>
        </w:rPr>
        <w:t xml:space="preserve"> </w:t>
      </w:r>
      <w:proofErr w:type="spellStart"/>
      <w:r>
        <w:rPr>
          <w:i/>
        </w:rPr>
        <w:t>and</w:t>
      </w:r>
      <w:proofErr w:type="spellEnd"/>
      <w:r>
        <w:rPr>
          <w:i/>
        </w:rPr>
        <w:t xml:space="preserve"> </w:t>
      </w:r>
      <w:proofErr w:type="spellStart"/>
      <w:r>
        <w:rPr>
          <w:i/>
        </w:rPr>
        <w:t>Drug</w:t>
      </w:r>
      <w:proofErr w:type="spellEnd"/>
      <w:r>
        <w:rPr>
          <w:i/>
        </w:rPr>
        <w:t xml:space="preserve"> </w:t>
      </w:r>
      <w:proofErr w:type="spellStart"/>
      <w:r>
        <w:rPr>
          <w:i/>
        </w:rPr>
        <w:t>Administration</w:t>
      </w:r>
      <w:proofErr w:type="spellEnd"/>
      <w:r>
        <w:t xml:space="preserve"> (FDA).</w:t>
      </w:r>
      <w:r>
        <w:rPr>
          <w:vertAlign w:val="superscript"/>
        </w:rPr>
        <w:t>3</w:t>
      </w:r>
      <w:r>
        <w:t xml:space="preserve"> Além do </w:t>
      </w:r>
      <w:proofErr w:type="spellStart"/>
      <w:r>
        <w:t>Sorafenib</w:t>
      </w:r>
      <w:proofErr w:type="spellEnd"/>
      <w:r>
        <w:t>, com</w:t>
      </w:r>
      <w:r>
        <w:t xml:space="preserve">o primeira linha de tratamento há o </w:t>
      </w:r>
      <w:proofErr w:type="spellStart"/>
      <w:r>
        <w:t>Lenvatinib</w:t>
      </w:r>
      <w:proofErr w:type="spellEnd"/>
      <w:r>
        <w:t xml:space="preserve">, o qual recebeu autorização da FDA para ser usado. O mecanismo de ação desses dois medicamentos não é completamente desvendado, mas ambos são inibidores de </w:t>
      </w:r>
      <w:proofErr w:type="spellStart"/>
      <w:r>
        <w:t>multiquinase</w:t>
      </w:r>
      <w:proofErr w:type="spellEnd"/>
      <w:r>
        <w:t xml:space="preserve">. O </w:t>
      </w:r>
      <w:proofErr w:type="spellStart"/>
      <w:r>
        <w:t>Sorafenibe</w:t>
      </w:r>
      <w:proofErr w:type="spellEnd"/>
      <w:r>
        <w:t xml:space="preserve"> age inibindo a sinalização</w:t>
      </w:r>
      <w:r>
        <w:t xml:space="preserve"> da RAF, da KIT, fator de crescimento endotelial vascular e fator de crescimento derivado de plaquetas, além de promover a apoptose de células tumorais, impedindo a progressão tumoral.</w:t>
      </w:r>
      <w:r>
        <w:rPr>
          <w:vertAlign w:val="superscript"/>
        </w:rPr>
        <w:t>7</w:t>
      </w:r>
      <w:r>
        <w:t xml:space="preserve"> </w:t>
      </w:r>
    </w:p>
    <w:p w:rsidR="0024131D" w:rsidRDefault="00F92A95">
      <w:pPr>
        <w:spacing w:after="0" w:line="259" w:lineRule="auto"/>
        <w:ind w:left="0" w:right="0" w:firstLine="0"/>
        <w:jc w:val="left"/>
      </w:pPr>
      <w:r>
        <w:t xml:space="preserve"> </w:t>
      </w:r>
    </w:p>
    <w:p w:rsidR="0024131D" w:rsidRDefault="00F92A95">
      <w:pPr>
        <w:ind w:left="-5" w:right="628"/>
      </w:pPr>
      <w:r>
        <w:lastRenderedPageBreak/>
        <w:t>Portanto, elas atuam inibindo a angiogênese e a proliferação celula</w:t>
      </w:r>
      <w:r>
        <w:t>r e assim, o desenvolvimento tumoral.</w:t>
      </w:r>
      <w:r>
        <w:rPr>
          <w:vertAlign w:val="superscript"/>
        </w:rPr>
        <w:t>2,3,7</w:t>
      </w:r>
      <w:r>
        <w:t xml:space="preserve"> Ambas as drogas apresentam alguns efeitos adversos, visto que são tratamentos sistêmicos, como Hipertensão, </w:t>
      </w:r>
      <w:proofErr w:type="spellStart"/>
      <w:r>
        <w:t>Eritrodisestesia</w:t>
      </w:r>
      <w:proofErr w:type="spellEnd"/>
      <w:r>
        <w:t xml:space="preserve"> palmar-plantar e perda de peso.</w:t>
      </w:r>
      <w:r>
        <w:rPr>
          <w:vertAlign w:val="superscript"/>
        </w:rPr>
        <w:t>3</w:t>
      </w:r>
      <w:r>
        <w:t xml:space="preserve"> Outras drogas de segunda linha que não são frequentemen</w:t>
      </w:r>
      <w:r>
        <w:t xml:space="preserve">te utilizadas, são o </w:t>
      </w:r>
      <w:proofErr w:type="spellStart"/>
      <w:r>
        <w:t>Regonafenib</w:t>
      </w:r>
      <w:proofErr w:type="spellEnd"/>
      <w:r>
        <w:t xml:space="preserve">, o </w:t>
      </w:r>
      <w:proofErr w:type="spellStart"/>
      <w:r>
        <w:t>Cabozentinib</w:t>
      </w:r>
      <w:proofErr w:type="spellEnd"/>
      <w:r>
        <w:t xml:space="preserve"> e o </w:t>
      </w:r>
      <w:proofErr w:type="spellStart"/>
      <w:r>
        <w:t>Ramuciromab</w:t>
      </w:r>
      <w:proofErr w:type="spellEnd"/>
      <w:r>
        <w:t xml:space="preserve"> e esses tratamentos não são curativo e visam melhorar a sobrevida dos pacientes em até 13 meses. Essas drogas de segunda linha reduzem mortalidade, mas apresentam uma frequência maior de efei</w:t>
      </w:r>
      <w:r>
        <w:t>tos adversos.</w:t>
      </w:r>
      <w:r>
        <w:rPr>
          <w:vertAlign w:val="superscript"/>
        </w:rPr>
        <w:t xml:space="preserve">3 </w:t>
      </w:r>
      <w:r>
        <w:t xml:space="preserve">Além disso, há as drogas sistêmicas </w:t>
      </w:r>
      <w:proofErr w:type="spellStart"/>
      <w:r>
        <w:t>imunoterápicas</w:t>
      </w:r>
      <w:proofErr w:type="spellEnd"/>
      <w:r>
        <w:t xml:space="preserve">, administradas por via intravenosa e subcutânea, em que as principais terapias atuam através da terapia baseada em anticorpo, com inibidores de checkpoints imunológicos. Os checkpoints são </w:t>
      </w:r>
      <w:proofErr w:type="spellStart"/>
      <w:r>
        <w:t>i</w:t>
      </w:r>
      <w:r>
        <w:t>munorreceptores</w:t>
      </w:r>
      <w:proofErr w:type="spellEnd"/>
      <w:r>
        <w:t xml:space="preserve"> inibitórios, expressos por células imunes efetoras, como CTLA-4 e PD-1.</w:t>
      </w:r>
      <w:r>
        <w:rPr>
          <w:vertAlign w:val="superscript"/>
        </w:rPr>
        <w:t>8</w:t>
      </w:r>
      <w:r>
        <w:t xml:space="preserve"> Ademais, eles agem como anticorpos, inibindo as proteínas do ponto de checagem, que não se ligam aos seus ligantes específicos, havendo uma elevação da resposta imune </w:t>
      </w:r>
      <w:r>
        <w:t>antitumoral.</w:t>
      </w:r>
      <w:r>
        <w:rPr>
          <w:vertAlign w:val="superscript"/>
        </w:rPr>
        <w:t>8</w:t>
      </w:r>
      <w:r>
        <w:t xml:space="preserve"> Os principais inibidores de checkpoints são o </w:t>
      </w:r>
      <w:proofErr w:type="spellStart"/>
      <w:r>
        <w:t>nivolumab</w:t>
      </w:r>
      <w:proofErr w:type="spellEnd"/>
      <w:r>
        <w:t xml:space="preserve"> (inibe o PD1), </w:t>
      </w:r>
      <w:proofErr w:type="spellStart"/>
      <w:r>
        <w:t>pembrolizumab</w:t>
      </w:r>
      <w:proofErr w:type="spellEnd"/>
      <w:r>
        <w:t xml:space="preserve"> (bloqueia PD-1) e </w:t>
      </w:r>
      <w:proofErr w:type="spellStart"/>
      <w:r>
        <w:t>atezolizumab</w:t>
      </w:r>
      <w:proofErr w:type="spellEnd"/>
      <w:r>
        <w:t xml:space="preserve"> (inibe o PD-L1).</w:t>
      </w:r>
      <w:r>
        <w:rPr>
          <w:vertAlign w:val="superscript"/>
        </w:rPr>
        <w:t>8</w:t>
      </w:r>
      <w:r>
        <w:t xml:space="preserve"> </w:t>
      </w:r>
    </w:p>
    <w:p w:rsidR="0024131D" w:rsidRDefault="00F92A95">
      <w:pPr>
        <w:spacing w:after="277" w:line="259" w:lineRule="auto"/>
        <w:ind w:left="0" w:right="0" w:firstLine="0"/>
        <w:jc w:val="left"/>
      </w:pPr>
      <w:r>
        <w:t xml:space="preserve"> </w:t>
      </w:r>
    </w:p>
    <w:p w:rsidR="0024131D" w:rsidRDefault="00F92A95">
      <w:pPr>
        <w:pStyle w:val="Ttulo1"/>
        <w:ind w:left="370"/>
      </w:pPr>
      <w:bookmarkStart w:id="4" w:name="_Toc63858"/>
      <w:r>
        <w:t>4.</w:t>
      </w:r>
      <w:r>
        <w:rPr>
          <w:rFonts w:ascii="Arial" w:eastAsia="Arial" w:hAnsi="Arial" w:cs="Arial"/>
        </w:rPr>
        <w:t xml:space="preserve"> </w:t>
      </w:r>
      <w:r>
        <w:t xml:space="preserve">Metodologia </w:t>
      </w:r>
      <w:bookmarkEnd w:id="4"/>
    </w:p>
    <w:p w:rsidR="0024131D" w:rsidRDefault="00F92A95">
      <w:pPr>
        <w:spacing w:after="273" w:line="259" w:lineRule="auto"/>
        <w:ind w:left="708" w:right="0" w:firstLine="0"/>
        <w:jc w:val="left"/>
      </w:pPr>
      <w:r>
        <w:rPr>
          <w:b/>
        </w:rPr>
        <w:t xml:space="preserve"> </w:t>
      </w:r>
    </w:p>
    <w:p w:rsidR="0024131D" w:rsidRDefault="00F92A95">
      <w:pPr>
        <w:pStyle w:val="Ttulo2"/>
        <w:ind w:left="718"/>
      </w:pPr>
      <w:bookmarkStart w:id="5" w:name="_Toc63859"/>
      <w:r>
        <w:t xml:space="preserve">1. Desenho de estudo </w:t>
      </w:r>
      <w:bookmarkEnd w:id="5"/>
    </w:p>
    <w:p w:rsidR="0024131D" w:rsidRDefault="00F92A95">
      <w:pPr>
        <w:ind w:left="-5" w:right="627"/>
      </w:pPr>
      <w:r>
        <w:t>Trata-</w:t>
      </w:r>
      <w:r>
        <w:t xml:space="preserve">se de uma revisão sistemática, com busca ativa na literatura, através da definição de uma metodologia sistematizada específica. O estudo seguiu a padronização do protocolo PRISMA- “The PRISMA 2020 checklist- </w:t>
      </w:r>
      <w:proofErr w:type="spellStart"/>
      <w:r>
        <w:rPr>
          <w:i/>
        </w:rPr>
        <w:t>Reporting</w:t>
      </w:r>
      <w:proofErr w:type="spellEnd"/>
      <w:r>
        <w:rPr>
          <w:i/>
        </w:rPr>
        <w:t xml:space="preserve"> </w:t>
      </w:r>
      <w:proofErr w:type="spellStart"/>
      <w:r>
        <w:rPr>
          <w:i/>
        </w:rPr>
        <w:t>systematic</w:t>
      </w:r>
      <w:proofErr w:type="spellEnd"/>
      <w:r>
        <w:rPr>
          <w:i/>
        </w:rPr>
        <w:t xml:space="preserve"> reviews </w:t>
      </w:r>
      <w:proofErr w:type="spellStart"/>
      <w:r>
        <w:rPr>
          <w:i/>
        </w:rPr>
        <w:t>and</w:t>
      </w:r>
      <w:proofErr w:type="spellEnd"/>
      <w:r>
        <w:rPr>
          <w:i/>
        </w:rPr>
        <w:t xml:space="preserve"> meta-</w:t>
      </w:r>
      <w:proofErr w:type="spellStart"/>
      <w:r>
        <w:rPr>
          <w:i/>
        </w:rPr>
        <w:t>analyses</w:t>
      </w:r>
      <w:proofErr w:type="spellEnd"/>
      <w:r>
        <w:rPr>
          <w:i/>
        </w:rPr>
        <w:t>”,</w:t>
      </w:r>
      <w:r>
        <w:t xml:space="preserve"> disponível na plataforma </w:t>
      </w:r>
      <w:r>
        <w:rPr>
          <w:i/>
        </w:rPr>
        <w:t>“</w:t>
      </w:r>
      <w:proofErr w:type="spellStart"/>
      <w:r>
        <w:rPr>
          <w:i/>
        </w:rPr>
        <w:t>equator</w:t>
      </w:r>
      <w:proofErr w:type="spellEnd"/>
      <w:r>
        <w:rPr>
          <w:i/>
        </w:rPr>
        <w:t xml:space="preserve"> network”.</w:t>
      </w:r>
      <w:r>
        <w:rPr>
          <w:vertAlign w:val="superscript"/>
        </w:rPr>
        <w:t>9</w:t>
      </w:r>
      <w:r>
        <w:rPr>
          <w:i/>
        </w:rPr>
        <w:t xml:space="preserve"> </w:t>
      </w:r>
    </w:p>
    <w:p w:rsidR="0024131D" w:rsidRDefault="00F92A95">
      <w:pPr>
        <w:spacing w:after="274" w:line="259" w:lineRule="auto"/>
        <w:ind w:left="0" w:right="0" w:firstLine="0"/>
        <w:jc w:val="left"/>
      </w:pPr>
      <w:r>
        <w:t xml:space="preserve"> </w:t>
      </w:r>
    </w:p>
    <w:p w:rsidR="0024131D" w:rsidRDefault="00F92A95">
      <w:pPr>
        <w:pStyle w:val="Ttulo2"/>
        <w:tabs>
          <w:tab w:val="center" w:pos="2040"/>
        </w:tabs>
        <w:ind w:left="-15" w:firstLine="0"/>
      </w:pPr>
      <w:bookmarkStart w:id="6" w:name="_Toc63860"/>
      <w:r>
        <w:t xml:space="preserve"> </w:t>
      </w:r>
      <w:r>
        <w:tab/>
        <w:t xml:space="preserve">2. Amostra a ser estudada </w:t>
      </w:r>
      <w:bookmarkEnd w:id="6"/>
    </w:p>
    <w:p w:rsidR="0024131D" w:rsidRDefault="00F92A95">
      <w:pPr>
        <w:ind w:left="-5" w:right="48"/>
      </w:pPr>
      <w:r>
        <w:t xml:space="preserve">Foram selecionados artigos, cuja metodologia insere-se em Ensaios Clínicos Randomizados (ECR). </w:t>
      </w:r>
    </w:p>
    <w:p w:rsidR="0024131D" w:rsidRDefault="00F92A95">
      <w:pPr>
        <w:spacing w:after="280" w:line="259" w:lineRule="auto"/>
        <w:ind w:left="0" w:right="0" w:firstLine="0"/>
        <w:jc w:val="left"/>
      </w:pPr>
      <w:r>
        <w:t xml:space="preserve"> </w:t>
      </w:r>
      <w:r>
        <w:tab/>
        <w:t xml:space="preserve"> </w:t>
      </w:r>
    </w:p>
    <w:p w:rsidR="0024131D" w:rsidRDefault="00F92A95">
      <w:pPr>
        <w:pStyle w:val="Ttulo2"/>
        <w:tabs>
          <w:tab w:val="center" w:pos="2428"/>
        </w:tabs>
        <w:ind w:left="-15" w:firstLine="0"/>
      </w:pPr>
      <w:bookmarkStart w:id="7" w:name="_Toc63861"/>
      <w:r>
        <w:t xml:space="preserve"> </w:t>
      </w:r>
      <w:r>
        <w:tab/>
        <w:t xml:space="preserve">3. Instrumento de coleta de dados </w:t>
      </w:r>
      <w:bookmarkEnd w:id="7"/>
    </w:p>
    <w:p w:rsidR="0024131D" w:rsidRDefault="00F92A95">
      <w:pPr>
        <w:spacing w:line="259" w:lineRule="auto"/>
        <w:ind w:left="-5" w:right="48"/>
      </w:pPr>
      <w:r>
        <w:t xml:space="preserve">Todos os artigos selecionados foram </w:t>
      </w:r>
      <w:r>
        <w:t xml:space="preserve">direcionados ao banco de dados da plataforma </w:t>
      </w:r>
    </w:p>
    <w:p w:rsidR="0024131D" w:rsidRDefault="00F92A95">
      <w:pPr>
        <w:ind w:left="-5" w:right="628"/>
      </w:pPr>
      <w:r>
        <w:t>“</w:t>
      </w:r>
      <w:proofErr w:type="spellStart"/>
      <w:r>
        <w:rPr>
          <w:i/>
        </w:rPr>
        <w:t>Mendeley</w:t>
      </w:r>
      <w:proofErr w:type="spellEnd"/>
      <w:r>
        <w:t>”, para posterior extração. Os trabalhos selecionados foram destinados a uma planilha na plataforma Excel, organizada através do título do artigo, nome do autor, data de publicação e local do estudo, t</w:t>
      </w:r>
      <w:r>
        <w:t xml:space="preserve">empo de seguimento do estudo, tamanho da amostra selecionada, </w:t>
      </w:r>
      <w:r>
        <w:lastRenderedPageBreak/>
        <w:t xml:space="preserve">tamanho da amostra do grupo intervenção, tamanho da amostra do grupo placebo e desfecho do trabalho. </w:t>
      </w:r>
    </w:p>
    <w:p w:rsidR="0024131D" w:rsidRDefault="00F92A95">
      <w:pPr>
        <w:spacing w:after="273" w:line="259" w:lineRule="auto"/>
        <w:ind w:left="0" w:right="0" w:firstLine="0"/>
        <w:jc w:val="left"/>
      </w:pPr>
      <w:r>
        <w:t xml:space="preserve"> </w:t>
      </w:r>
    </w:p>
    <w:p w:rsidR="0024131D" w:rsidRDefault="00F92A95">
      <w:pPr>
        <w:pStyle w:val="Ttulo2"/>
        <w:tabs>
          <w:tab w:val="center" w:pos="1828"/>
        </w:tabs>
        <w:ind w:left="-15" w:firstLine="0"/>
      </w:pPr>
      <w:bookmarkStart w:id="8" w:name="_Toc63862"/>
      <w:r>
        <w:t xml:space="preserve"> </w:t>
      </w:r>
      <w:r>
        <w:tab/>
        <w:t xml:space="preserve">4. Estratégia de busca </w:t>
      </w:r>
      <w:bookmarkEnd w:id="8"/>
    </w:p>
    <w:p w:rsidR="0024131D" w:rsidRDefault="00F92A95">
      <w:pPr>
        <w:spacing w:after="115" w:line="259" w:lineRule="auto"/>
        <w:ind w:left="-5" w:right="48"/>
      </w:pPr>
      <w:r>
        <w:t xml:space="preserve">A busca de artigos elegíveis foi </w:t>
      </w:r>
      <w:r>
        <w:t xml:space="preserve">realizada através das bases de dados eletrônicas </w:t>
      </w:r>
    </w:p>
    <w:p w:rsidR="0024131D" w:rsidRDefault="00F92A95">
      <w:pPr>
        <w:ind w:left="-5" w:right="630"/>
      </w:pPr>
      <w:proofErr w:type="spellStart"/>
      <w:r>
        <w:t>Pubmed</w:t>
      </w:r>
      <w:proofErr w:type="spellEnd"/>
      <w:r>
        <w:t>/</w:t>
      </w:r>
      <w:proofErr w:type="spellStart"/>
      <w:r>
        <w:t>Medline</w:t>
      </w:r>
      <w:proofErr w:type="spellEnd"/>
      <w:r>
        <w:t xml:space="preserve">, </w:t>
      </w:r>
      <w:r>
        <w:rPr>
          <w:i/>
        </w:rPr>
        <w:t>Cochrane Library</w:t>
      </w:r>
      <w:r>
        <w:t xml:space="preserve"> e </w:t>
      </w:r>
      <w:proofErr w:type="spellStart"/>
      <w:r>
        <w:t>Scielo</w:t>
      </w:r>
      <w:proofErr w:type="spellEnd"/>
      <w:r>
        <w:t xml:space="preserve">, através da combinação entre os Descritores em Ciências de Saúde (DECS) e Medical </w:t>
      </w:r>
      <w:proofErr w:type="spellStart"/>
      <w:r>
        <w:t>Subject</w:t>
      </w:r>
      <w:proofErr w:type="spellEnd"/>
      <w:r>
        <w:t xml:space="preserve"> </w:t>
      </w:r>
      <w:proofErr w:type="spellStart"/>
      <w:r>
        <w:t>Headings</w:t>
      </w:r>
      <w:proofErr w:type="spellEnd"/>
      <w:r>
        <w:t xml:space="preserve"> (</w:t>
      </w:r>
      <w:proofErr w:type="spellStart"/>
      <w:r>
        <w:t>MeSH</w:t>
      </w:r>
      <w:proofErr w:type="spellEnd"/>
      <w:r>
        <w:t>). Os termos pesquisados durante a estratégia de busca foram</w:t>
      </w:r>
      <w:r>
        <w:t>: “</w:t>
      </w:r>
      <w:proofErr w:type="spellStart"/>
      <w:r>
        <w:rPr>
          <w:i/>
        </w:rPr>
        <w:t>Hepatocellular</w:t>
      </w:r>
      <w:proofErr w:type="spellEnd"/>
      <w:r>
        <w:rPr>
          <w:i/>
        </w:rPr>
        <w:t xml:space="preserve"> Carcinoma</w:t>
      </w:r>
      <w:r>
        <w:t>”, “CHC”, “</w:t>
      </w:r>
      <w:proofErr w:type="spellStart"/>
      <w:r>
        <w:rPr>
          <w:i/>
        </w:rPr>
        <w:t>Hepatocellular</w:t>
      </w:r>
      <w:proofErr w:type="spellEnd"/>
      <w:r>
        <w:rPr>
          <w:i/>
        </w:rPr>
        <w:t xml:space="preserve"> </w:t>
      </w:r>
      <w:proofErr w:type="spellStart"/>
      <w:r>
        <w:rPr>
          <w:i/>
        </w:rPr>
        <w:t>cancer</w:t>
      </w:r>
      <w:proofErr w:type="spellEnd"/>
      <w:r>
        <w:t>”, “</w:t>
      </w:r>
      <w:proofErr w:type="spellStart"/>
      <w:r>
        <w:rPr>
          <w:i/>
        </w:rPr>
        <w:t>Transarterial</w:t>
      </w:r>
      <w:proofErr w:type="spellEnd"/>
      <w:r>
        <w:rPr>
          <w:i/>
        </w:rPr>
        <w:t xml:space="preserve"> </w:t>
      </w:r>
      <w:proofErr w:type="spellStart"/>
      <w:r>
        <w:rPr>
          <w:i/>
        </w:rPr>
        <w:t>chemoembolization</w:t>
      </w:r>
      <w:proofErr w:type="spellEnd"/>
      <w:r>
        <w:t>”, “</w:t>
      </w:r>
      <w:r>
        <w:rPr>
          <w:i/>
        </w:rPr>
        <w:t>TACE</w:t>
      </w:r>
      <w:r>
        <w:t>”, “</w:t>
      </w:r>
      <w:proofErr w:type="spellStart"/>
      <w:r>
        <w:rPr>
          <w:i/>
        </w:rPr>
        <w:t>Chemotherapy</w:t>
      </w:r>
      <w:proofErr w:type="spellEnd"/>
      <w:r>
        <w:rPr>
          <w:i/>
        </w:rPr>
        <w:t xml:space="preserve"> </w:t>
      </w:r>
      <w:proofErr w:type="spellStart"/>
      <w:r>
        <w:rPr>
          <w:i/>
        </w:rPr>
        <w:t>plus</w:t>
      </w:r>
      <w:proofErr w:type="spellEnd"/>
      <w:r>
        <w:rPr>
          <w:i/>
        </w:rPr>
        <w:t xml:space="preserve"> TACE</w:t>
      </w:r>
      <w:r>
        <w:t>”, “</w:t>
      </w:r>
      <w:proofErr w:type="spellStart"/>
      <w:r>
        <w:rPr>
          <w:i/>
        </w:rPr>
        <w:t>Sorafenib</w:t>
      </w:r>
      <w:proofErr w:type="spellEnd"/>
      <w:r>
        <w:rPr>
          <w:i/>
        </w:rPr>
        <w:t xml:space="preserve"> </w:t>
      </w:r>
      <w:proofErr w:type="spellStart"/>
      <w:r>
        <w:rPr>
          <w:i/>
        </w:rPr>
        <w:t>plus</w:t>
      </w:r>
      <w:proofErr w:type="spellEnd"/>
      <w:r>
        <w:rPr>
          <w:i/>
        </w:rPr>
        <w:t xml:space="preserve"> TACE</w:t>
      </w:r>
      <w:r>
        <w:t>”, “</w:t>
      </w:r>
      <w:proofErr w:type="spellStart"/>
      <w:r>
        <w:rPr>
          <w:i/>
        </w:rPr>
        <w:t>immunotherapy</w:t>
      </w:r>
      <w:proofErr w:type="spellEnd"/>
      <w:r>
        <w:rPr>
          <w:i/>
        </w:rPr>
        <w:t xml:space="preserve"> </w:t>
      </w:r>
      <w:proofErr w:type="spellStart"/>
      <w:r>
        <w:rPr>
          <w:i/>
        </w:rPr>
        <w:t>plus</w:t>
      </w:r>
      <w:proofErr w:type="spellEnd"/>
      <w:r>
        <w:rPr>
          <w:i/>
        </w:rPr>
        <w:t xml:space="preserve"> TACE</w:t>
      </w:r>
      <w:r>
        <w:t>”</w:t>
      </w:r>
      <w:r>
        <w:rPr>
          <w:color w:val="FF0000"/>
        </w:rPr>
        <w:t xml:space="preserve"> </w:t>
      </w:r>
      <w:r>
        <w:t>e “</w:t>
      </w:r>
      <w:proofErr w:type="spellStart"/>
      <w:r>
        <w:rPr>
          <w:i/>
        </w:rPr>
        <w:t>Radiotherapy</w:t>
      </w:r>
      <w:proofErr w:type="spellEnd"/>
      <w:r>
        <w:t xml:space="preserve">”. Associados a esses termos, foram utilizados os operadores </w:t>
      </w:r>
      <w:r>
        <w:t xml:space="preserve">booleanos “AND”, “OR” e “NOT”. </w:t>
      </w:r>
    </w:p>
    <w:p w:rsidR="0024131D" w:rsidRDefault="00F92A95">
      <w:pPr>
        <w:spacing w:after="276" w:line="259" w:lineRule="auto"/>
        <w:ind w:left="0" w:right="0" w:firstLine="0"/>
        <w:jc w:val="left"/>
      </w:pPr>
      <w:r>
        <w:t xml:space="preserve"> </w:t>
      </w:r>
    </w:p>
    <w:p w:rsidR="0024131D" w:rsidRDefault="00F92A95">
      <w:pPr>
        <w:pStyle w:val="Ttulo2"/>
        <w:tabs>
          <w:tab w:val="center" w:pos="2115"/>
        </w:tabs>
        <w:ind w:left="-15" w:firstLine="0"/>
      </w:pPr>
      <w:bookmarkStart w:id="9" w:name="_Toc63863"/>
      <w:r>
        <w:t xml:space="preserve"> </w:t>
      </w:r>
      <w:r>
        <w:tab/>
        <w:t xml:space="preserve">5. Critérios de elegibilidade </w:t>
      </w:r>
      <w:bookmarkEnd w:id="9"/>
    </w:p>
    <w:p w:rsidR="0024131D" w:rsidRDefault="00F92A95">
      <w:pPr>
        <w:ind w:left="-5" w:right="629"/>
      </w:pPr>
      <w:r>
        <w:t>Foram selecionados artigos, cujos desenhos de estudo tenham sido publicados entre os últimos 15 anos (2008-2022) e escritos nos idiomas inglês, português e espanhol. Foram analisados ECR co</w:t>
      </w:r>
      <w:r>
        <w:t xml:space="preserve">m tratamento combinado de QT e QS, comparado ao tratamento com apenas com QT, em pacientes com CHC, elegíveis para realização da QT, independentemente do estágio, em que os tumores não apresentam invasão </w:t>
      </w:r>
      <w:proofErr w:type="spellStart"/>
      <w:r>
        <w:t>macrovascular</w:t>
      </w:r>
      <w:proofErr w:type="spellEnd"/>
      <w:r>
        <w:t xml:space="preserve"> ou extra-hepática. Foram excluídos da </w:t>
      </w:r>
      <w:r>
        <w:t xml:space="preserve">pesquisa artigos cuja metodologia é de relatos de caso, séries de caso, revisão sistemática, </w:t>
      </w:r>
      <w:proofErr w:type="spellStart"/>
      <w:r>
        <w:t>metanálise</w:t>
      </w:r>
      <w:proofErr w:type="spellEnd"/>
      <w:r>
        <w:t xml:space="preserve">, </w:t>
      </w:r>
      <w:proofErr w:type="spellStart"/>
      <w:r>
        <w:rPr>
          <w:i/>
        </w:rPr>
        <w:t>scoping</w:t>
      </w:r>
      <w:proofErr w:type="spellEnd"/>
      <w:r>
        <w:rPr>
          <w:i/>
        </w:rPr>
        <w:t xml:space="preserve"> review</w:t>
      </w:r>
      <w:r>
        <w:t xml:space="preserve"> e </w:t>
      </w:r>
      <w:proofErr w:type="spellStart"/>
      <w:r>
        <w:rPr>
          <w:i/>
        </w:rPr>
        <w:t>letters</w:t>
      </w:r>
      <w:proofErr w:type="spellEnd"/>
      <w:r>
        <w:t>. Além disso, foram excluídos, artigos que sejam publicados em revistas predatórias, que não abranjam o tema central da pesquis</w:t>
      </w:r>
      <w:r>
        <w:t>a.</w:t>
      </w:r>
      <w:r>
        <w:rPr>
          <w:color w:val="FF0000"/>
        </w:rPr>
        <w:t xml:space="preserve"> </w:t>
      </w:r>
    </w:p>
    <w:p w:rsidR="0024131D" w:rsidRDefault="00F92A95">
      <w:pPr>
        <w:spacing w:after="273" w:line="259" w:lineRule="auto"/>
        <w:ind w:left="0" w:right="0" w:firstLine="0"/>
        <w:jc w:val="left"/>
      </w:pPr>
      <w:r>
        <w:t xml:space="preserve"> </w:t>
      </w:r>
    </w:p>
    <w:p w:rsidR="0024131D" w:rsidRDefault="00F92A95">
      <w:pPr>
        <w:pStyle w:val="Ttulo2"/>
        <w:tabs>
          <w:tab w:val="center" w:pos="1835"/>
        </w:tabs>
        <w:ind w:left="-15" w:firstLine="0"/>
      </w:pPr>
      <w:bookmarkStart w:id="10" w:name="_Toc63864"/>
      <w:r>
        <w:t xml:space="preserve"> </w:t>
      </w:r>
      <w:r>
        <w:tab/>
        <w:t xml:space="preserve">6. Variáveis do estudo </w:t>
      </w:r>
      <w:bookmarkEnd w:id="10"/>
    </w:p>
    <w:p w:rsidR="0024131D" w:rsidRDefault="00F92A95">
      <w:pPr>
        <w:ind w:left="-5" w:right="48"/>
      </w:pPr>
      <w:r>
        <w:t>As variáveis extraídas dos estudos foram: nome do primeiro autor, ano de publicação, país, tamanho da amostra, período de seguimento da pesquisa, descrição dos pacientes que participaram da pesquisa de acordo com sexo e idad</w:t>
      </w:r>
      <w:r>
        <w:t>e, número de participantes nos grupos controle e intervenção, tempo de intervenção, condição de doença dos pacientes que participaram (estágio do CHC, se realizou algum tratamento prévio, sinais/sintomas que apresenta). Além disso, a droga que foi utilizad</w:t>
      </w:r>
      <w:r>
        <w:t>a no tratamento sistêmico, via de administração, posologia da medicação, o tipo de método utilizado na QT (convencional ou uso de esferas de eluição de drogas), efeitos colaterais, indesejáveis e não previstos do tratamento combinado ou do tratamento apena</w:t>
      </w:r>
      <w:r>
        <w:t xml:space="preserve">s com QT, conclusões e limitações do estudo. </w:t>
      </w:r>
    </w:p>
    <w:p w:rsidR="0024131D" w:rsidRDefault="00F92A95">
      <w:pPr>
        <w:spacing w:after="274" w:line="259" w:lineRule="auto"/>
        <w:ind w:left="0" w:right="0" w:firstLine="0"/>
        <w:jc w:val="left"/>
      </w:pPr>
      <w:r>
        <w:t xml:space="preserve"> </w:t>
      </w:r>
    </w:p>
    <w:p w:rsidR="0024131D" w:rsidRDefault="00F92A95">
      <w:pPr>
        <w:pStyle w:val="Ttulo2"/>
        <w:ind w:left="718"/>
      </w:pPr>
      <w:bookmarkStart w:id="11" w:name="_Toc63865"/>
      <w:r>
        <w:lastRenderedPageBreak/>
        <w:t xml:space="preserve">7. Etapa de coleta de dados </w:t>
      </w:r>
      <w:bookmarkEnd w:id="11"/>
    </w:p>
    <w:p w:rsidR="0024131D" w:rsidRDefault="00F92A95">
      <w:pPr>
        <w:ind w:left="-5" w:right="631"/>
      </w:pPr>
      <w:r>
        <w:t xml:space="preserve">Os trabalhos foram identificados por um pesquisador que inicialmente identificou a origem da Revista e autores e em seguida, foi realizada </w:t>
      </w:r>
      <w:r>
        <w:t xml:space="preserve">a leitura dos títulos dos artigos, para possível exclusão daqueles duplicados. </w:t>
      </w:r>
    </w:p>
    <w:p w:rsidR="0024131D" w:rsidRDefault="00F92A95">
      <w:pPr>
        <w:spacing w:after="273" w:line="259" w:lineRule="auto"/>
        <w:ind w:left="0" w:right="0" w:firstLine="0"/>
        <w:jc w:val="left"/>
      </w:pPr>
      <w:r>
        <w:t xml:space="preserve"> </w:t>
      </w:r>
    </w:p>
    <w:p w:rsidR="0024131D" w:rsidRDefault="00F92A95">
      <w:pPr>
        <w:pStyle w:val="Ttulo2"/>
        <w:tabs>
          <w:tab w:val="center" w:pos="2582"/>
        </w:tabs>
        <w:ind w:left="-15" w:firstLine="0"/>
      </w:pPr>
      <w:bookmarkStart w:id="12" w:name="_Toc63866"/>
      <w:r>
        <w:t xml:space="preserve"> </w:t>
      </w:r>
      <w:r>
        <w:tab/>
        <w:t xml:space="preserve">8. Identificação e seleção dos estudos </w:t>
      </w:r>
      <w:bookmarkEnd w:id="12"/>
    </w:p>
    <w:p w:rsidR="0024131D" w:rsidRDefault="00F92A95">
      <w:pPr>
        <w:ind w:left="-5" w:right="630"/>
      </w:pPr>
      <w:r>
        <w:t>A identificação e seleção dos estudos utilizados na Revisão Sistemática seguiram as 4 etapas seguintes: 1- As ferramentas dos bancos</w:t>
      </w:r>
      <w:r>
        <w:t xml:space="preserve"> de dados específicos foram utilizadas separadamente, a fim de identificar e selecionar apenas artigos que incluam de forma correta os critérios de inclusão pré-definidos, e descartar os que contenham os critérios de exclusão; 2- Em seguida, analisou-se os</w:t>
      </w:r>
      <w:r>
        <w:t xml:space="preserve"> títulos dos artigos selecionados; 3- Posteriormente, os resumos dos artigos foram lidos e avaliados, com o objetivo de selecionar os que preenchem os critérios de inclusão </w:t>
      </w:r>
      <w:proofErr w:type="spellStart"/>
      <w:r>
        <w:t>prédeterminados</w:t>
      </w:r>
      <w:proofErr w:type="spellEnd"/>
      <w:r>
        <w:t>; 4- Por fim, a leitura completa dos artigos pré-selecionados, foi r</w:t>
      </w:r>
      <w:r>
        <w:t xml:space="preserve">ealizada, para avaliar metodologicamente esses trabalhos, e definir a sua seleção ou descarte. </w:t>
      </w:r>
    </w:p>
    <w:p w:rsidR="0024131D" w:rsidRDefault="00F92A95">
      <w:pPr>
        <w:spacing w:after="274" w:line="259" w:lineRule="auto"/>
        <w:ind w:left="0" w:right="0" w:firstLine="0"/>
        <w:jc w:val="left"/>
      </w:pPr>
      <w:r>
        <w:t xml:space="preserve"> </w:t>
      </w:r>
    </w:p>
    <w:p w:rsidR="0024131D" w:rsidRDefault="00F92A95">
      <w:pPr>
        <w:pStyle w:val="Ttulo2"/>
        <w:tabs>
          <w:tab w:val="center" w:pos="1481"/>
        </w:tabs>
        <w:ind w:left="-15" w:firstLine="0"/>
      </w:pPr>
      <w:bookmarkStart w:id="13" w:name="_Toc63867"/>
      <w:r>
        <w:t xml:space="preserve"> </w:t>
      </w:r>
      <w:r>
        <w:tab/>
        <w:t xml:space="preserve">9. Risco de viés </w:t>
      </w:r>
      <w:bookmarkEnd w:id="13"/>
    </w:p>
    <w:p w:rsidR="0024131D" w:rsidRDefault="00F92A95">
      <w:pPr>
        <w:spacing w:after="158" w:line="364" w:lineRule="auto"/>
        <w:ind w:left="-15" w:right="383" w:firstLine="0"/>
        <w:jc w:val="left"/>
      </w:pPr>
      <w:r>
        <w:t xml:space="preserve">Com base na recomendação da plataforma Cochrane, foi feito uso da ferramenta “RoB2- </w:t>
      </w:r>
      <w:r>
        <w:rPr>
          <w:i/>
        </w:rPr>
        <w:t xml:space="preserve">Risk </w:t>
      </w:r>
      <w:proofErr w:type="spellStart"/>
      <w:r>
        <w:rPr>
          <w:i/>
        </w:rPr>
        <w:t>of</w:t>
      </w:r>
      <w:proofErr w:type="spellEnd"/>
      <w:r>
        <w:rPr>
          <w:i/>
        </w:rPr>
        <w:t xml:space="preserve"> Bias 2</w:t>
      </w:r>
      <w:r>
        <w:t>”</w:t>
      </w:r>
      <w:r>
        <w:rPr>
          <w:vertAlign w:val="superscript"/>
        </w:rPr>
        <w:t>10</w:t>
      </w:r>
      <w:r>
        <w:t xml:space="preserve"> (Quadro 1), com o objetivo de analis</w:t>
      </w:r>
      <w:r>
        <w:t xml:space="preserve">ar em pesquisa crítica os estudos incluídos, e avaliar o possível risco de viés dos artigos. Serão aceitos artigos com até 40% de alto risco de viés. </w:t>
      </w:r>
    </w:p>
    <w:p w:rsidR="0024131D" w:rsidRDefault="00F92A95">
      <w:pPr>
        <w:spacing w:after="276" w:line="259" w:lineRule="auto"/>
        <w:ind w:left="0" w:right="0" w:firstLine="0"/>
        <w:jc w:val="left"/>
      </w:pPr>
      <w:r>
        <w:t xml:space="preserve"> </w:t>
      </w:r>
    </w:p>
    <w:p w:rsidR="0024131D" w:rsidRDefault="00F92A95">
      <w:pPr>
        <w:pStyle w:val="Ttulo2"/>
        <w:tabs>
          <w:tab w:val="center" w:pos="2798"/>
        </w:tabs>
        <w:ind w:left="-15" w:firstLine="0"/>
      </w:pPr>
      <w:bookmarkStart w:id="14" w:name="_Toc63868"/>
      <w:r>
        <w:t xml:space="preserve"> </w:t>
      </w:r>
      <w:r>
        <w:tab/>
        <w:t xml:space="preserve">10. Avaliação da qualidade metodológica </w:t>
      </w:r>
      <w:bookmarkEnd w:id="14"/>
    </w:p>
    <w:p w:rsidR="0024131D" w:rsidRDefault="00F92A95">
      <w:pPr>
        <w:ind w:left="-5" w:right="626"/>
      </w:pPr>
      <w:r>
        <w:t>A avaliação da qualidade da metodologia dos artigos selecionados foi realizada com base no protocolo CONSORT (</w:t>
      </w:r>
      <w:proofErr w:type="spellStart"/>
      <w:r>
        <w:rPr>
          <w:i/>
        </w:rPr>
        <w:t>Consolidated</w:t>
      </w:r>
      <w:proofErr w:type="spellEnd"/>
      <w:r>
        <w:rPr>
          <w:i/>
        </w:rPr>
        <w:t xml:space="preserve"> </w:t>
      </w:r>
      <w:proofErr w:type="spellStart"/>
      <w:r>
        <w:rPr>
          <w:i/>
        </w:rPr>
        <w:t>Standarts</w:t>
      </w:r>
      <w:proofErr w:type="spellEnd"/>
      <w:r>
        <w:rPr>
          <w:i/>
        </w:rPr>
        <w:t xml:space="preserve"> </w:t>
      </w:r>
      <w:proofErr w:type="spellStart"/>
      <w:r>
        <w:rPr>
          <w:i/>
        </w:rPr>
        <w:t>of</w:t>
      </w:r>
      <w:proofErr w:type="spellEnd"/>
      <w:r>
        <w:rPr>
          <w:i/>
        </w:rPr>
        <w:t xml:space="preserve"> </w:t>
      </w:r>
      <w:proofErr w:type="spellStart"/>
      <w:r>
        <w:rPr>
          <w:i/>
        </w:rPr>
        <w:t>Reporting</w:t>
      </w:r>
      <w:proofErr w:type="spellEnd"/>
      <w:r>
        <w:rPr>
          <w:i/>
        </w:rPr>
        <w:t xml:space="preserve"> </w:t>
      </w:r>
      <w:proofErr w:type="spellStart"/>
      <w:r>
        <w:rPr>
          <w:i/>
        </w:rPr>
        <w:t>Trials</w:t>
      </w:r>
      <w:proofErr w:type="spellEnd"/>
      <w:r>
        <w:t>).</w:t>
      </w:r>
      <w:r>
        <w:rPr>
          <w:vertAlign w:val="superscript"/>
        </w:rPr>
        <w:t>11</w:t>
      </w:r>
      <w:r>
        <w:t xml:space="preserve"> A partir dessa análise, foram </w:t>
      </w:r>
      <w:r>
        <w:t xml:space="preserve">incluídos na Revisão Sistemática apenas artigos contemplem pelo menos 15 pontos do checklist presente no CONSORT (quadro 2).  </w:t>
      </w:r>
    </w:p>
    <w:p w:rsidR="0024131D" w:rsidRDefault="00F92A95">
      <w:pPr>
        <w:spacing w:after="276" w:line="259" w:lineRule="auto"/>
        <w:ind w:left="0" w:right="0" w:firstLine="0"/>
        <w:jc w:val="left"/>
      </w:pPr>
      <w:r>
        <w:t xml:space="preserve"> </w:t>
      </w:r>
    </w:p>
    <w:p w:rsidR="0024131D" w:rsidRDefault="00F92A95">
      <w:pPr>
        <w:tabs>
          <w:tab w:val="center" w:pos="2251"/>
        </w:tabs>
        <w:spacing w:after="278" w:line="259" w:lineRule="auto"/>
        <w:ind w:left="-15" w:right="0" w:firstLine="0"/>
        <w:jc w:val="left"/>
      </w:pPr>
      <w:r>
        <w:t xml:space="preserve"> </w:t>
      </w:r>
      <w:r>
        <w:tab/>
      </w:r>
      <w:r>
        <w:rPr>
          <w:b/>
        </w:rPr>
        <w:t xml:space="preserve">11. Plano de análise estatística </w:t>
      </w:r>
    </w:p>
    <w:p w:rsidR="0024131D" w:rsidRDefault="00F92A95">
      <w:pPr>
        <w:ind w:left="-5" w:right="631"/>
      </w:pPr>
      <w:r>
        <w:t>Os dados analisados foram descritos no trabalho por meio de quadros e tabelas com as variáv</w:t>
      </w:r>
      <w:r>
        <w:t xml:space="preserve">eis pré-definidas. Para organização dos dados e criação de quadros e tabelas com esses dados, foi utilizado o programa Microsoft Office Excel 2016. </w:t>
      </w:r>
    </w:p>
    <w:p w:rsidR="0024131D" w:rsidRDefault="00F92A95">
      <w:pPr>
        <w:spacing w:after="273" w:line="259" w:lineRule="auto"/>
        <w:ind w:left="0" w:right="0" w:firstLine="0"/>
        <w:jc w:val="left"/>
      </w:pPr>
      <w:r>
        <w:rPr>
          <w:color w:val="FF0000"/>
        </w:rPr>
        <w:lastRenderedPageBreak/>
        <w:t xml:space="preserve"> </w:t>
      </w:r>
    </w:p>
    <w:p w:rsidR="0024131D" w:rsidRDefault="00F92A95">
      <w:pPr>
        <w:pStyle w:val="Ttulo2"/>
        <w:tabs>
          <w:tab w:val="center" w:pos="1657"/>
        </w:tabs>
        <w:ind w:left="-15" w:firstLine="0"/>
      </w:pPr>
      <w:bookmarkStart w:id="15" w:name="_Toc63869"/>
      <w:r>
        <w:t xml:space="preserve"> </w:t>
      </w:r>
      <w:r>
        <w:tab/>
        <w:t xml:space="preserve">12. Aspectos éticos </w:t>
      </w:r>
      <w:bookmarkEnd w:id="15"/>
    </w:p>
    <w:p w:rsidR="0024131D" w:rsidRDefault="00F92A95">
      <w:pPr>
        <w:ind w:left="-5" w:right="628"/>
      </w:pPr>
      <w:r>
        <w:t xml:space="preserve">Por ser uma Revisão Sistemática, não foi necessário submeter o trabalho ao Comitê </w:t>
      </w:r>
      <w:r>
        <w:t xml:space="preserve">de Ética em Pesquisa (CEP). O trabalho foi enviado para submissão à plataforma de revisões sistemáticas PROSPERO com ID.  </w:t>
      </w:r>
    </w:p>
    <w:p w:rsidR="0024131D" w:rsidRDefault="00F92A95">
      <w:pPr>
        <w:spacing w:after="276" w:line="259" w:lineRule="auto"/>
        <w:ind w:left="0" w:right="0" w:firstLine="0"/>
        <w:jc w:val="left"/>
      </w:pPr>
      <w:r>
        <w:t xml:space="preserve"> </w:t>
      </w:r>
    </w:p>
    <w:p w:rsidR="0024131D" w:rsidRDefault="00F92A95">
      <w:pPr>
        <w:pStyle w:val="Ttulo1"/>
        <w:ind w:left="370"/>
      </w:pPr>
      <w:bookmarkStart w:id="16" w:name="_Toc63870"/>
      <w:r>
        <w:t>5.</w:t>
      </w:r>
      <w:r>
        <w:rPr>
          <w:rFonts w:ascii="Arial" w:eastAsia="Arial" w:hAnsi="Arial" w:cs="Arial"/>
        </w:rPr>
        <w:t xml:space="preserve"> </w:t>
      </w:r>
      <w:r>
        <w:t xml:space="preserve">Resultados: </w:t>
      </w:r>
      <w:bookmarkEnd w:id="16"/>
    </w:p>
    <w:p w:rsidR="0024131D" w:rsidRDefault="00F92A95">
      <w:pPr>
        <w:ind w:left="-5" w:right="629"/>
      </w:pPr>
      <w:r>
        <w:t xml:space="preserve">Neste estudo, foram identificados 338 artigos nas bases eletrônicas </w:t>
      </w:r>
      <w:proofErr w:type="spellStart"/>
      <w:r>
        <w:t>Medline</w:t>
      </w:r>
      <w:proofErr w:type="spellEnd"/>
      <w:r>
        <w:t>/</w:t>
      </w:r>
      <w:proofErr w:type="spellStart"/>
      <w:r>
        <w:t>Pubmed</w:t>
      </w:r>
      <w:proofErr w:type="spellEnd"/>
      <w:r>
        <w:t xml:space="preserve"> (251), </w:t>
      </w:r>
      <w:proofErr w:type="spellStart"/>
      <w:r>
        <w:t>Scielo</w:t>
      </w:r>
      <w:proofErr w:type="spellEnd"/>
      <w:r>
        <w:t xml:space="preserve"> (02) e Cochrane (8</w:t>
      </w:r>
      <w:r>
        <w:t>5), a partir dos termos da estratégia de busca. Foi realizada a leitura inicialmente do título dos artigos, a partir da qual, permaneceram na seleção 52 artigos e foram excluídos, 286, em que 275 foram excluídos por apresentarem desenhos de estudo fora dos</w:t>
      </w:r>
      <w:r>
        <w:t xml:space="preserve"> critérios de elegibilidade e 11 duplicados serem estudos duplicados. Posteriormente, foi realizada a leitura do resumo dos artigos, em que 08 artigos permaneceram elegíveis e 44, foram excluídos. Foi realizada, então, a leitura integral de 08 artigos (Flu</w:t>
      </w:r>
      <w:r>
        <w:t xml:space="preserve">xograma 1). </w:t>
      </w:r>
    </w:p>
    <w:p w:rsidR="0024131D" w:rsidRDefault="00F92A95">
      <w:pPr>
        <w:spacing w:after="223" w:line="259" w:lineRule="auto"/>
        <w:ind w:left="0" w:right="571" w:firstLine="0"/>
        <w:jc w:val="right"/>
      </w:pPr>
      <w:r>
        <w:rPr>
          <w:noProof/>
        </w:rPr>
        <w:drawing>
          <wp:inline distT="0" distB="0" distL="0" distR="0">
            <wp:extent cx="5760085" cy="3572510"/>
            <wp:effectExtent l="0" t="0" r="0" b="0"/>
            <wp:docPr id="2658" name="Picture 2658"/>
            <wp:cNvGraphicFramePr/>
            <a:graphic xmlns:a="http://schemas.openxmlformats.org/drawingml/2006/main">
              <a:graphicData uri="http://schemas.openxmlformats.org/drawingml/2006/picture">
                <pic:pic xmlns:pic="http://schemas.openxmlformats.org/drawingml/2006/picture">
                  <pic:nvPicPr>
                    <pic:cNvPr id="2658" name="Picture 2658"/>
                    <pic:cNvPicPr/>
                  </pic:nvPicPr>
                  <pic:blipFill>
                    <a:blip r:embed="rId6"/>
                    <a:stretch>
                      <a:fillRect/>
                    </a:stretch>
                  </pic:blipFill>
                  <pic:spPr>
                    <a:xfrm>
                      <a:off x="0" y="0"/>
                      <a:ext cx="5760085" cy="3572510"/>
                    </a:xfrm>
                    <a:prstGeom prst="rect">
                      <a:avLst/>
                    </a:prstGeom>
                  </pic:spPr>
                </pic:pic>
              </a:graphicData>
            </a:graphic>
          </wp:inline>
        </w:drawing>
      </w:r>
      <w:r>
        <w:t xml:space="preserve"> </w:t>
      </w:r>
    </w:p>
    <w:p w:rsidR="0024131D" w:rsidRDefault="00F92A95">
      <w:pPr>
        <w:spacing w:after="112" w:line="259" w:lineRule="auto"/>
        <w:ind w:left="-5" w:right="48"/>
      </w:pPr>
      <w:r>
        <w:t xml:space="preserve">Fluxograma 1: Seleção dos artigos. O fluxograma mostra o processo de seleção dos artigos: </w:t>
      </w:r>
    </w:p>
    <w:p w:rsidR="0024131D" w:rsidRDefault="00F92A95">
      <w:pPr>
        <w:spacing w:after="274" w:line="259" w:lineRule="auto"/>
        <w:ind w:left="-5" w:right="48"/>
      </w:pPr>
      <w:r>
        <w:t xml:space="preserve">Identificação, Avaliação, Análise e Inclusão. </w:t>
      </w:r>
    </w:p>
    <w:p w:rsidR="0024131D" w:rsidRDefault="00F92A95">
      <w:pPr>
        <w:spacing w:after="289" w:line="259" w:lineRule="auto"/>
        <w:ind w:left="0" w:right="0" w:firstLine="0"/>
        <w:jc w:val="left"/>
      </w:pPr>
      <w:r>
        <w:rPr>
          <w:color w:val="FF0000"/>
        </w:rPr>
        <w:t xml:space="preserve"> </w:t>
      </w:r>
    </w:p>
    <w:p w:rsidR="0024131D" w:rsidRDefault="00F92A95">
      <w:pPr>
        <w:ind w:left="-5" w:right="628"/>
      </w:pPr>
      <w:r>
        <w:t>Para avaliação do risco de viés, foi utilizado o “</w:t>
      </w:r>
      <w:r>
        <w:rPr>
          <w:i/>
        </w:rPr>
        <w:t xml:space="preserve">Risk </w:t>
      </w:r>
      <w:proofErr w:type="spellStart"/>
      <w:r>
        <w:rPr>
          <w:i/>
        </w:rPr>
        <w:t>of</w:t>
      </w:r>
      <w:proofErr w:type="spellEnd"/>
      <w:r>
        <w:rPr>
          <w:i/>
        </w:rPr>
        <w:t xml:space="preserve"> Bias 2.0 (Rob 2)</w:t>
      </w:r>
      <w:r>
        <w:t>”</w:t>
      </w:r>
      <w:r>
        <w:rPr>
          <w:vertAlign w:val="superscript"/>
        </w:rPr>
        <w:t>10</w:t>
      </w:r>
      <w:r>
        <w:t xml:space="preserve"> que após ser aplicado,</w:t>
      </w:r>
      <w:r>
        <w:t xml:space="preserve"> um artigo foi excluído por conta do alto risco de viés, permanecendo na amostra, 07 artigos </w:t>
      </w:r>
      <w:r>
        <w:lastRenderedPageBreak/>
        <w:t>para análise. Nesse instrumento, um domínio com alto risco de viés (ARV), representado em vermelho, significava 20% de risco de viés (RV), um domínio com algumas p</w:t>
      </w:r>
      <w:r>
        <w:t>reocupações, representado em amarelo, significava 10% de RV, e um domínio com baixo risco de viés (BRV), representado em verde, significava 0% de RV. Dessa forma, os artigos Hoffmann, K- et al.</w:t>
      </w:r>
      <w:r>
        <w:rPr>
          <w:vertAlign w:val="superscript"/>
        </w:rPr>
        <w:t>12</w:t>
      </w:r>
      <w:r>
        <w:t xml:space="preserve">(2015), </w:t>
      </w:r>
      <w:proofErr w:type="spellStart"/>
      <w:r>
        <w:t>Lencioni</w:t>
      </w:r>
      <w:proofErr w:type="spellEnd"/>
      <w:r>
        <w:t>, R- et al.</w:t>
      </w:r>
      <w:r>
        <w:rPr>
          <w:vertAlign w:val="superscript"/>
        </w:rPr>
        <w:t>13</w:t>
      </w:r>
      <w:r>
        <w:t>(2016), Meyer, T- et al.</w:t>
      </w:r>
      <w:r>
        <w:rPr>
          <w:vertAlign w:val="superscript"/>
        </w:rPr>
        <w:t>14</w:t>
      </w:r>
      <w:r>
        <w:t>(2017)</w:t>
      </w:r>
      <w:r>
        <w:t xml:space="preserve"> e Pinter, M- et al.</w:t>
      </w:r>
      <w:r>
        <w:rPr>
          <w:vertAlign w:val="superscript"/>
        </w:rPr>
        <w:t>15</w:t>
      </w:r>
      <w:r>
        <w:t xml:space="preserve"> (2015) apresentaram 20% de RV, </w:t>
      </w:r>
      <w:proofErr w:type="spellStart"/>
      <w:r>
        <w:t>Kudo</w:t>
      </w:r>
      <w:proofErr w:type="spellEnd"/>
      <w:r>
        <w:t>, M- et al.</w:t>
      </w:r>
      <w:r>
        <w:rPr>
          <w:vertAlign w:val="superscript"/>
        </w:rPr>
        <w:t>16</w:t>
      </w:r>
      <w:r>
        <w:t xml:space="preserve"> (2014) e </w:t>
      </w:r>
      <w:proofErr w:type="spellStart"/>
      <w:r>
        <w:t>Kudo</w:t>
      </w:r>
      <w:proofErr w:type="spellEnd"/>
      <w:r>
        <w:t>, M- et al.</w:t>
      </w:r>
      <w:r>
        <w:rPr>
          <w:vertAlign w:val="superscript"/>
        </w:rPr>
        <w:t xml:space="preserve">17 </w:t>
      </w:r>
      <w:r>
        <w:t xml:space="preserve">(2022) apresentaram 30% de RV, </w:t>
      </w:r>
      <w:proofErr w:type="spellStart"/>
      <w:r>
        <w:t>Sansonno</w:t>
      </w:r>
      <w:proofErr w:type="spellEnd"/>
      <w:r>
        <w:t xml:space="preserve">, M- et al. </w:t>
      </w:r>
      <w:r>
        <w:rPr>
          <w:vertAlign w:val="superscript"/>
        </w:rPr>
        <w:t>18</w:t>
      </w:r>
      <w:r>
        <w:t xml:space="preserve"> (2012) obteve 40% de RV e </w:t>
      </w:r>
      <w:proofErr w:type="spellStart"/>
      <w:r>
        <w:t>Gish</w:t>
      </w:r>
      <w:proofErr w:type="spellEnd"/>
      <w:r>
        <w:t>, R- et al.</w:t>
      </w:r>
      <w:r>
        <w:rPr>
          <w:vertAlign w:val="superscript"/>
        </w:rPr>
        <w:t>19</w:t>
      </w:r>
      <w:r>
        <w:t xml:space="preserve"> (2009) obteve 60% de RV foi excluído do estudo (Quadro 1). </w:t>
      </w:r>
      <w:r>
        <w:t xml:space="preserve"> </w:t>
      </w:r>
    </w:p>
    <w:p w:rsidR="0024131D" w:rsidRDefault="00F92A95">
      <w:pPr>
        <w:spacing w:after="273" w:line="259" w:lineRule="auto"/>
        <w:ind w:left="0" w:right="0" w:firstLine="0"/>
        <w:jc w:val="left"/>
      </w:pPr>
      <w:r>
        <w:t xml:space="preserve"> </w:t>
      </w:r>
    </w:p>
    <w:p w:rsidR="0024131D" w:rsidRDefault="00F92A95">
      <w:pPr>
        <w:spacing w:after="273" w:line="259" w:lineRule="auto"/>
        <w:ind w:left="0" w:right="0" w:firstLine="0"/>
        <w:jc w:val="left"/>
      </w:pPr>
      <w:r>
        <w:t xml:space="preserve"> </w:t>
      </w:r>
    </w:p>
    <w:p w:rsidR="0024131D" w:rsidRDefault="00F92A95">
      <w:pPr>
        <w:spacing w:after="0" w:line="259" w:lineRule="auto"/>
        <w:ind w:left="0" w:right="0" w:firstLine="0"/>
        <w:jc w:val="left"/>
      </w:pPr>
      <w:r>
        <w:t xml:space="preserve"> </w:t>
      </w:r>
    </w:p>
    <w:p w:rsidR="0024131D" w:rsidRDefault="00F92A95">
      <w:pPr>
        <w:spacing w:after="17" w:line="259" w:lineRule="auto"/>
        <w:ind w:left="-5" w:right="48"/>
      </w:pPr>
      <w:r>
        <w:t xml:space="preserve">Quadro 1: Aplicação da Ferramenta Rob 2.  </w:t>
      </w:r>
    </w:p>
    <w:tbl>
      <w:tblPr>
        <w:tblStyle w:val="TableGrid"/>
        <w:tblW w:w="8985" w:type="dxa"/>
        <w:tblInd w:w="45" w:type="dxa"/>
        <w:tblCellMar>
          <w:top w:w="13" w:type="dxa"/>
          <w:left w:w="83" w:type="dxa"/>
          <w:bottom w:w="5" w:type="dxa"/>
          <w:right w:w="28" w:type="dxa"/>
        </w:tblCellMar>
        <w:tblLook w:val="04A0" w:firstRow="1" w:lastRow="0" w:firstColumn="1" w:lastColumn="0" w:noHBand="0" w:noVBand="1"/>
      </w:tblPr>
      <w:tblGrid>
        <w:gridCol w:w="1214"/>
        <w:gridCol w:w="1579"/>
        <w:gridCol w:w="1579"/>
        <w:gridCol w:w="1580"/>
        <w:gridCol w:w="1579"/>
        <w:gridCol w:w="1454"/>
      </w:tblGrid>
      <w:tr w:rsidR="0024131D">
        <w:trPr>
          <w:trHeight w:val="544"/>
        </w:trPr>
        <w:tc>
          <w:tcPr>
            <w:tcW w:w="1215"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103" w:right="0" w:firstLine="0"/>
              <w:jc w:val="left"/>
            </w:pPr>
            <w:r>
              <w:rPr>
                <w:b/>
              </w:rPr>
              <w:t xml:space="preserve">Artigos: </w:t>
            </w:r>
          </w:p>
        </w:tc>
        <w:tc>
          <w:tcPr>
            <w:tcW w:w="1579"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0" w:right="51" w:firstLine="0"/>
              <w:jc w:val="center"/>
            </w:pPr>
            <w:r>
              <w:rPr>
                <w:b/>
              </w:rPr>
              <w:t xml:space="preserve">Domínio 1 </w:t>
            </w:r>
          </w:p>
        </w:tc>
        <w:tc>
          <w:tcPr>
            <w:tcW w:w="1579"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0" w:right="54" w:firstLine="0"/>
              <w:jc w:val="center"/>
            </w:pPr>
            <w:r>
              <w:rPr>
                <w:b/>
              </w:rPr>
              <w:t xml:space="preserve">Domínio 2 </w:t>
            </w:r>
          </w:p>
        </w:tc>
        <w:tc>
          <w:tcPr>
            <w:tcW w:w="1580"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0" w:right="54" w:firstLine="0"/>
              <w:jc w:val="center"/>
            </w:pPr>
            <w:r>
              <w:rPr>
                <w:b/>
              </w:rPr>
              <w:t xml:space="preserve">Domínio 3 </w:t>
            </w:r>
          </w:p>
        </w:tc>
        <w:tc>
          <w:tcPr>
            <w:tcW w:w="1579"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0" w:right="54" w:firstLine="0"/>
              <w:jc w:val="center"/>
            </w:pPr>
            <w:r>
              <w:rPr>
                <w:b/>
              </w:rPr>
              <w:t xml:space="preserve">Domínio 4 </w:t>
            </w:r>
          </w:p>
        </w:tc>
        <w:tc>
          <w:tcPr>
            <w:tcW w:w="1454"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114" w:right="0" w:firstLine="0"/>
              <w:jc w:val="left"/>
            </w:pPr>
            <w:r>
              <w:rPr>
                <w:b/>
              </w:rPr>
              <w:t xml:space="preserve">Domínio 5 </w:t>
            </w:r>
          </w:p>
        </w:tc>
      </w:tr>
      <w:tr w:rsidR="0024131D">
        <w:trPr>
          <w:trHeight w:val="838"/>
        </w:trPr>
        <w:tc>
          <w:tcPr>
            <w:tcW w:w="1215" w:type="dxa"/>
            <w:tcBorders>
              <w:top w:val="single" w:sz="4" w:space="0" w:color="000000"/>
              <w:left w:val="single" w:sz="4" w:space="0" w:color="000000"/>
              <w:bottom w:val="single" w:sz="4" w:space="0" w:color="000000"/>
              <w:right w:val="single" w:sz="4" w:space="0" w:color="000000"/>
            </w:tcBorders>
            <w:shd w:val="clear" w:color="auto" w:fill="D9D9D9"/>
          </w:tcPr>
          <w:p w:rsidR="0024131D" w:rsidRDefault="00F92A95">
            <w:pPr>
              <w:spacing w:after="0" w:line="259" w:lineRule="auto"/>
              <w:ind w:left="0" w:right="0" w:firstLine="0"/>
            </w:pPr>
            <w:r>
              <w:t xml:space="preserve">Hoffmann, </w:t>
            </w:r>
          </w:p>
          <w:p w:rsidR="0024131D" w:rsidRDefault="00F92A95">
            <w:pPr>
              <w:spacing w:after="0" w:line="259" w:lineRule="auto"/>
              <w:ind w:left="0" w:right="60" w:firstLine="0"/>
              <w:jc w:val="center"/>
            </w:pPr>
            <w:r>
              <w:t xml:space="preserve">K et al. </w:t>
            </w:r>
          </w:p>
          <w:p w:rsidR="0024131D" w:rsidRDefault="00F92A95">
            <w:pPr>
              <w:spacing w:after="0" w:line="259" w:lineRule="auto"/>
              <w:ind w:left="0" w:right="57" w:firstLine="0"/>
              <w:jc w:val="center"/>
            </w:pPr>
            <w:r>
              <w:rPr>
                <w:vertAlign w:val="superscript"/>
              </w:rPr>
              <w:t>12</w:t>
            </w:r>
            <w:r>
              <w:t xml:space="preserve">(2015) </w:t>
            </w:r>
          </w:p>
        </w:tc>
        <w:tc>
          <w:tcPr>
            <w:tcW w:w="1579"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c>
          <w:tcPr>
            <w:tcW w:w="1579" w:type="dxa"/>
            <w:tcBorders>
              <w:top w:val="single" w:sz="4" w:space="0" w:color="000000"/>
              <w:left w:val="single" w:sz="4" w:space="0" w:color="000000"/>
              <w:bottom w:val="single" w:sz="4" w:space="0" w:color="000000"/>
              <w:right w:val="single" w:sz="4" w:space="0" w:color="000000"/>
            </w:tcBorders>
            <w:shd w:val="clear" w:color="auto" w:fill="FF0000"/>
            <w:vAlign w:val="bottom"/>
          </w:tcPr>
          <w:p w:rsidR="0024131D" w:rsidRDefault="00F92A95">
            <w:pPr>
              <w:spacing w:after="0" w:line="259" w:lineRule="auto"/>
              <w:ind w:left="3" w:right="0" w:firstLine="0"/>
              <w:jc w:val="left"/>
            </w:pPr>
            <w:r>
              <w:rPr>
                <w:sz w:val="20"/>
              </w:rPr>
              <w:t xml:space="preserve">Alto risco de viés </w:t>
            </w:r>
          </w:p>
        </w:tc>
        <w:tc>
          <w:tcPr>
            <w:tcW w:w="1580"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c>
          <w:tcPr>
            <w:tcW w:w="1579"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c>
          <w:tcPr>
            <w:tcW w:w="1454"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r>
      <w:tr w:rsidR="0024131D">
        <w:trPr>
          <w:trHeight w:val="839"/>
        </w:trPr>
        <w:tc>
          <w:tcPr>
            <w:tcW w:w="1215"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89" w:right="0" w:firstLine="0"/>
              <w:jc w:val="left"/>
            </w:pPr>
            <w:proofErr w:type="spellStart"/>
            <w:r>
              <w:t>Kudo</w:t>
            </w:r>
            <w:proofErr w:type="spellEnd"/>
            <w:r>
              <w:t xml:space="preserve">, M </w:t>
            </w:r>
          </w:p>
          <w:p w:rsidR="0024131D" w:rsidRDefault="00F92A95">
            <w:pPr>
              <w:spacing w:after="0" w:line="259" w:lineRule="auto"/>
              <w:ind w:left="0" w:firstLine="0"/>
              <w:jc w:val="center"/>
            </w:pPr>
            <w:r>
              <w:t xml:space="preserve"> et </w:t>
            </w:r>
          </w:p>
          <w:p w:rsidR="0024131D" w:rsidRDefault="00F92A95">
            <w:pPr>
              <w:spacing w:after="0" w:line="259" w:lineRule="auto"/>
              <w:ind w:left="7" w:right="0" w:firstLine="0"/>
            </w:pPr>
            <w:r>
              <w:t>al.</w:t>
            </w:r>
            <w:r>
              <w:rPr>
                <w:vertAlign w:val="superscript"/>
              </w:rPr>
              <w:t>16</w:t>
            </w:r>
            <w:r>
              <w:t xml:space="preserve">(2014) </w:t>
            </w:r>
          </w:p>
        </w:tc>
        <w:tc>
          <w:tcPr>
            <w:tcW w:w="1579"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c>
          <w:tcPr>
            <w:tcW w:w="1579"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c>
          <w:tcPr>
            <w:tcW w:w="1580"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c>
          <w:tcPr>
            <w:tcW w:w="1579" w:type="dxa"/>
            <w:tcBorders>
              <w:top w:val="single" w:sz="4" w:space="0" w:color="000000"/>
              <w:left w:val="single" w:sz="4" w:space="0" w:color="000000"/>
              <w:bottom w:val="single" w:sz="4" w:space="0" w:color="000000"/>
              <w:right w:val="single" w:sz="4" w:space="0" w:color="000000"/>
            </w:tcBorders>
            <w:shd w:val="clear" w:color="auto" w:fill="FF0000"/>
            <w:vAlign w:val="bottom"/>
          </w:tcPr>
          <w:p w:rsidR="0024131D" w:rsidRDefault="00F92A95">
            <w:pPr>
              <w:spacing w:after="0" w:line="259" w:lineRule="auto"/>
              <w:ind w:left="3" w:right="0" w:firstLine="0"/>
              <w:jc w:val="left"/>
            </w:pPr>
            <w:r>
              <w:rPr>
                <w:sz w:val="20"/>
              </w:rPr>
              <w:t xml:space="preserve">Alto risco de viés </w:t>
            </w:r>
          </w:p>
        </w:tc>
        <w:tc>
          <w:tcPr>
            <w:tcW w:w="145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24131D" w:rsidRDefault="00F92A95">
            <w:pPr>
              <w:spacing w:after="0" w:line="259" w:lineRule="auto"/>
              <w:ind w:left="0" w:right="0" w:firstLine="0"/>
              <w:jc w:val="center"/>
            </w:pPr>
            <w:r>
              <w:rPr>
                <w:sz w:val="20"/>
              </w:rPr>
              <w:t xml:space="preserve">Algumas preocupações </w:t>
            </w:r>
          </w:p>
        </w:tc>
      </w:tr>
      <w:tr w:rsidR="0024131D">
        <w:trPr>
          <w:trHeight w:val="838"/>
        </w:trPr>
        <w:tc>
          <w:tcPr>
            <w:tcW w:w="1215" w:type="dxa"/>
            <w:tcBorders>
              <w:top w:val="single" w:sz="4" w:space="0" w:color="000000"/>
              <w:left w:val="single" w:sz="4" w:space="0" w:color="000000"/>
              <w:bottom w:val="single" w:sz="4" w:space="0" w:color="000000"/>
              <w:right w:val="single" w:sz="4" w:space="0" w:color="000000"/>
            </w:tcBorders>
            <w:shd w:val="clear" w:color="auto" w:fill="D9D9D9"/>
          </w:tcPr>
          <w:p w:rsidR="0024131D" w:rsidRDefault="00F92A95">
            <w:pPr>
              <w:spacing w:after="44" w:line="236" w:lineRule="auto"/>
              <w:ind w:left="3" w:right="3" w:firstLine="0"/>
              <w:jc w:val="center"/>
            </w:pPr>
            <w:proofErr w:type="spellStart"/>
            <w:r>
              <w:t>Kudo</w:t>
            </w:r>
            <w:proofErr w:type="spellEnd"/>
            <w:r>
              <w:t xml:space="preserve">, M et al. </w:t>
            </w:r>
            <w:r>
              <w:rPr>
                <w:vertAlign w:val="superscript"/>
              </w:rPr>
              <w:t>17</w:t>
            </w:r>
            <w:r>
              <w:t xml:space="preserve"> </w:t>
            </w:r>
          </w:p>
          <w:p w:rsidR="0024131D" w:rsidRDefault="00F92A95">
            <w:pPr>
              <w:spacing w:after="0" w:line="259" w:lineRule="auto"/>
              <w:ind w:left="0" w:right="62" w:firstLine="0"/>
              <w:jc w:val="center"/>
            </w:pPr>
            <w:r>
              <w:t xml:space="preserve">(2022) </w:t>
            </w:r>
          </w:p>
        </w:tc>
        <w:tc>
          <w:tcPr>
            <w:tcW w:w="1579"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c>
          <w:tcPr>
            <w:tcW w:w="1579"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24131D" w:rsidRDefault="00F92A95">
            <w:pPr>
              <w:spacing w:after="0" w:line="259" w:lineRule="auto"/>
              <w:ind w:left="0" w:right="0" w:firstLine="0"/>
              <w:jc w:val="center"/>
            </w:pPr>
            <w:r>
              <w:rPr>
                <w:sz w:val="20"/>
              </w:rPr>
              <w:t xml:space="preserve">Algumas preocupações </w:t>
            </w:r>
          </w:p>
        </w:tc>
        <w:tc>
          <w:tcPr>
            <w:tcW w:w="1580"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c>
          <w:tcPr>
            <w:tcW w:w="1579" w:type="dxa"/>
            <w:tcBorders>
              <w:top w:val="single" w:sz="4" w:space="0" w:color="000000"/>
              <w:left w:val="single" w:sz="4" w:space="0" w:color="000000"/>
              <w:bottom w:val="single" w:sz="4" w:space="0" w:color="000000"/>
              <w:right w:val="single" w:sz="4" w:space="0" w:color="000000"/>
            </w:tcBorders>
            <w:shd w:val="clear" w:color="auto" w:fill="FF0000"/>
            <w:vAlign w:val="bottom"/>
          </w:tcPr>
          <w:p w:rsidR="0024131D" w:rsidRDefault="00F92A95">
            <w:pPr>
              <w:spacing w:after="0" w:line="259" w:lineRule="auto"/>
              <w:ind w:left="3" w:right="0" w:firstLine="0"/>
              <w:jc w:val="left"/>
            </w:pPr>
            <w:r>
              <w:rPr>
                <w:sz w:val="20"/>
              </w:rPr>
              <w:t xml:space="preserve">Alto risco de viés </w:t>
            </w:r>
          </w:p>
        </w:tc>
        <w:tc>
          <w:tcPr>
            <w:tcW w:w="1454"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r>
      <w:tr w:rsidR="0024131D">
        <w:trPr>
          <w:trHeight w:val="838"/>
        </w:trPr>
        <w:tc>
          <w:tcPr>
            <w:tcW w:w="1215"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38" w:lineRule="auto"/>
              <w:ind w:left="0" w:right="0" w:firstLine="0"/>
              <w:jc w:val="center"/>
            </w:pPr>
            <w:proofErr w:type="spellStart"/>
            <w:r>
              <w:t>Lencioni</w:t>
            </w:r>
            <w:proofErr w:type="spellEnd"/>
            <w:r>
              <w:t xml:space="preserve">, R et al. </w:t>
            </w:r>
          </w:p>
          <w:p w:rsidR="0024131D" w:rsidRDefault="00F92A95">
            <w:pPr>
              <w:spacing w:after="0" w:line="259" w:lineRule="auto"/>
              <w:ind w:left="0" w:right="57" w:firstLine="0"/>
              <w:jc w:val="center"/>
            </w:pPr>
            <w:r>
              <w:rPr>
                <w:vertAlign w:val="superscript"/>
              </w:rPr>
              <w:t>13</w:t>
            </w:r>
            <w:r>
              <w:t xml:space="preserve">(2016) </w:t>
            </w:r>
          </w:p>
        </w:tc>
        <w:tc>
          <w:tcPr>
            <w:tcW w:w="1579"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c>
          <w:tcPr>
            <w:tcW w:w="1579"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24131D" w:rsidRDefault="00F92A95">
            <w:pPr>
              <w:spacing w:after="0" w:line="259" w:lineRule="auto"/>
              <w:ind w:left="0" w:right="0" w:firstLine="0"/>
              <w:jc w:val="center"/>
            </w:pPr>
            <w:r>
              <w:rPr>
                <w:sz w:val="20"/>
              </w:rPr>
              <w:t xml:space="preserve">Algumas preocupações </w:t>
            </w:r>
          </w:p>
        </w:tc>
        <w:tc>
          <w:tcPr>
            <w:tcW w:w="1580"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24131D" w:rsidRDefault="00F92A95">
            <w:pPr>
              <w:spacing w:after="0" w:line="259" w:lineRule="auto"/>
              <w:ind w:left="0" w:right="0" w:firstLine="0"/>
              <w:jc w:val="center"/>
            </w:pPr>
            <w:r>
              <w:rPr>
                <w:sz w:val="20"/>
              </w:rPr>
              <w:t xml:space="preserve">Algumas preocupações </w:t>
            </w:r>
          </w:p>
        </w:tc>
        <w:tc>
          <w:tcPr>
            <w:tcW w:w="1579"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c>
          <w:tcPr>
            <w:tcW w:w="1454"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r>
      <w:tr w:rsidR="0024131D">
        <w:trPr>
          <w:trHeight w:val="838"/>
        </w:trPr>
        <w:tc>
          <w:tcPr>
            <w:tcW w:w="1215" w:type="dxa"/>
            <w:tcBorders>
              <w:top w:val="single" w:sz="4" w:space="0" w:color="000000"/>
              <w:left w:val="single" w:sz="4" w:space="0" w:color="000000"/>
              <w:bottom w:val="single" w:sz="4" w:space="0" w:color="000000"/>
              <w:right w:val="single" w:sz="4" w:space="0" w:color="000000"/>
            </w:tcBorders>
            <w:shd w:val="clear" w:color="auto" w:fill="D9D9D9"/>
          </w:tcPr>
          <w:p w:rsidR="0024131D" w:rsidRDefault="00F92A95">
            <w:pPr>
              <w:spacing w:after="29" w:line="232" w:lineRule="auto"/>
              <w:ind w:left="0" w:right="0" w:firstLine="0"/>
              <w:jc w:val="center"/>
            </w:pPr>
            <w:r>
              <w:t>Meyer, T et al.</w:t>
            </w:r>
            <w:r>
              <w:rPr>
                <w:vertAlign w:val="superscript"/>
              </w:rPr>
              <w:t>14</w:t>
            </w:r>
            <w:r>
              <w:t xml:space="preserve"> </w:t>
            </w:r>
          </w:p>
          <w:p w:rsidR="0024131D" w:rsidRDefault="00F92A95">
            <w:pPr>
              <w:spacing w:after="0" w:line="259" w:lineRule="auto"/>
              <w:ind w:left="0" w:right="62" w:firstLine="0"/>
              <w:jc w:val="center"/>
            </w:pPr>
            <w:r>
              <w:t>(2017)</w:t>
            </w:r>
            <w:r>
              <w:rPr>
                <w:vertAlign w:val="superscript"/>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c>
          <w:tcPr>
            <w:tcW w:w="1579"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24131D" w:rsidRDefault="00F92A95">
            <w:pPr>
              <w:spacing w:after="0" w:line="259" w:lineRule="auto"/>
              <w:ind w:left="0" w:right="0" w:firstLine="0"/>
              <w:jc w:val="center"/>
            </w:pPr>
            <w:r>
              <w:rPr>
                <w:sz w:val="20"/>
              </w:rPr>
              <w:t xml:space="preserve">Algumas preocupações </w:t>
            </w:r>
          </w:p>
        </w:tc>
        <w:tc>
          <w:tcPr>
            <w:tcW w:w="1580"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24131D" w:rsidRDefault="00F92A95">
            <w:pPr>
              <w:spacing w:after="0" w:line="259" w:lineRule="auto"/>
              <w:ind w:left="0" w:right="0" w:firstLine="0"/>
              <w:jc w:val="center"/>
            </w:pPr>
            <w:r>
              <w:rPr>
                <w:sz w:val="20"/>
              </w:rPr>
              <w:t xml:space="preserve">Algumas preocupações </w:t>
            </w:r>
          </w:p>
        </w:tc>
        <w:tc>
          <w:tcPr>
            <w:tcW w:w="1579"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c>
          <w:tcPr>
            <w:tcW w:w="1454"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r>
      <w:tr w:rsidR="0024131D">
        <w:trPr>
          <w:trHeight w:val="838"/>
        </w:trPr>
        <w:tc>
          <w:tcPr>
            <w:tcW w:w="1215" w:type="dxa"/>
            <w:tcBorders>
              <w:top w:val="single" w:sz="4" w:space="0" w:color="000000"/>
              <w:left w:val="single" w:sz="4" w:space="0" w:color="000000"/>
              <w:bottom w:val="single" w:sz="4" w:space="0" w:color="000000"/>
              <w:right w:val="single" w:sz="4" w:space="0" w:color="000000"/>
            </w:tcBorders>
          </w:tcPr>
          <w:p w:rsidR="0024131D" w:rsidRDefault="00F92A95">
            <w:pPr>
              <w:spacing w:after="44" w:line="236" w:lineRule="auto"/>
              <w:ind w:left="0" w:right="0" w:firstLine="0"/>
              <w:jc w:val="center"/>
            </w:pPr>
            <w:r>
              <w:t xml:space="preserve">Pinter, M et al. </w:t>
            </w:r>
            <w:r>
              <w:rPr>
                <w:vertAlign w:val="superscript"/>
              </w:rPr>
              <w:t>15</w:t>
            </w:r>
            <w:r>
              <w:t xml:space="preserve"> </w:t>
            </w:r>
          </w:p>
          <w:p w:rsidR="0024131D" w:rsidRDefault="00F92A95">
            <w:pPr>
              <w:spacing w:after="0" w:line="259" w:lineRule="auto"/>
              <w:ind w:left="0" w:right="62" w:firstLine="0"/>
              <w:jc w:val="center"/>
            </w:pPr>
            <w:r>
              <w:t xml:space="preserve">(2015) </w:t>
            </w:r>
          </w:p>
        </w:tc>
        <w:tc>
          <w:tcPr>
            <w:tcW w:w="1579"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c>
          <w:tcPr>
            <w:tcW w:w="1579"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c>
          <w:tcPr>
            <w:tcW w:w="1580"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c>
          <w:tcPr>
            <w:tcW w:w="1579"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c>
          <w:tcPr>
            <w:tcW w:w="1454" w:type="dxa"/>
            <w:tcBorders>
              <w:top w:val="single" w:sz="4" w:space="0" w:color="000000"/>
              <w:left w:val="single" w:sz="4" w:space="0" w:color="000000"/>
              <w:bottom w:val="single" w:sz="4" w:space="0" w:color="000000"/>
              <w:right w:val="single" w:sz="4" w:space="0" w:color="000000"/>
            </w:tcBorders>
            <w:shd w:val="clear" w:color="auto" w:fill="FF0000"/>
            <w:vAlign w:val="bottom"/>
          </w:tcPr>
          <w:p w:rsidR="0024131D" w:rsidRDefault="00F92A95">
            <w:pPr>
              <w:spacing w:after="0" w:line="259" w:lineRule="auto"/>
              <w:ind w:left="0" w:right="0" w:firstLine="0"/>
              <w:jc w:val="center"/>
            </w:pPr>
            <w:r>
              <w:rPr>
                <w:sz w:val="20"/>
              </w:rPr>
              <w:t xml:space="preserve">Alto risco de viés </w:t>
            </w:r>
          </w:p>
        </w:tc>
      </w:tr>
      <w:tr w:rsidR="0024131D">
        <w:trPr>
          <w:trHeight w:val="838"/>
        </w:trPr>
        <w:tc>
          <w:tcPr>
            <w:tcW w:w="1215" w:type="dxa"/>
            <w:tcBorders>
              <w:top w:val="single" w:sz="4" w:space="0" w:color="000000"/>
              <w:left w:val="single" w:sz="4" w:space="0" w:color="000000"/>
              <w:bottom w:val="single" w:sz="4" w:space="0" w:color="000000"/>
              <w:right w:val="single" w:sz="4" w:space="0" w:color="000000"/>
            </w:tcBorders>
            <w:shd w:val="clear" w:color="auto" w:fill="D9D9D9"/>
          </w:tcPr>
          <w:p w:rsidR="0024131D" w:rsidRDefault="00F92A95">
            <w:pPr>
              <w:spacing w:after="0" w:line="259" w:lineRule="auto"/>
              <w:ind w:left="26" w:right="0" w:firstLine="0"/>
              <w:jc w:val="left"/>
            </w:pPr>
            <w:proofErr w:type="spellStart"/>
            <w:r>
              <w:t>Sansonno</w:t>
            </w:r>
            <w:proofErr w:type="spellEnd"/>
            <w:r>
              <w:t xml:space="preserve">, </w:t>
            </w:r>
          </w:p>
          <w:p w:rsidR="0024131D" w:rsidRDefault="00F92A95">
            <w:pPr>
              <w:spacing w:after="13" w:line="259" w:lineRule="auto"/>
              <w:ind w:left="0" w:firstLine="0"/>
              <w:jc w:val="center"/>
            </w:pPr>
            <w:r>
              <w:t>D et al.</w:t>
            </w:r>
            <w:r>
              <w:rPr>
                <w:vertAlign w:val="superscript"/>
              </w:rPr>
              <w:t>18</w:t>
            </w:r>
            <w:r>
              <w:t xml:space="preserve"> </w:t>
            </w:r>
          </w:p>
          <w:p w:rsidR="0024131D" w:rsidRDefault="00F92A95">
            <w:pPr>
              <w:spacing w:after="0" w:line="259" w:lineRule="auto"/>
              <w:ind w:left="0" w:right="62" w:firstLine="0"/>
              <w:jc w:val="center"/>
            </w:pPr>
            <w:r>
              <w:t xml:space="preserve">(2012) </w:t>
            </w:r>
          </w:p>
        </w:tc>
        <w:tc>
          <w:tcPr>
            <w:tcW w:w="1579"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c>
          <w:tcPr>
            <w:tcW w:w="1579" w:type="dxa"/>
            <w:tcBorders>
              <w:top w:val="single" w:sz="4" w:space="0" w:color="000000"/>
              <w:left w:val="single" w:sz="4" w:space="0" w:color="000000"/>
              <w:bottom w:val="single" w:sz="4" w:space="0" w:color="000000"/>
              <w:right w:val="single" w:sz="4" w:space="0" w:color="000000"/>
            </w:tcBorders>
            <w:shd w:val="clear" w:color="auto" w:fill="FF0000"/>
            <w:vAlign w:val="bottom"/>
          </w:tcPr>
          <w:p w:rsidR="0024131D" w:rsidRDefault="00F92A95">
            <w:pPr>
              <w:spacing w:after="0" w:line="259" w:lineRule="auto"/>
              <w:ind w:left="3" w:right="0" w:firstLine="0"/>
              <w:jc w:val="left"/>
            </w:pPr>
            <w:r>
              <w:rPr>
                <w:sz w:val="20"/>
              </w:rPr>
              <w:t xml:space="preserve">Alto risco de viés </w:t>
            </w:r>
          </w:p>
        </w:tc>
        <w:tc>
          <w:tcPr>
            <w:tcW w:w="1580" w:type="dxa"/>
            <w:tcBorders>
              <w:top w:val="single" w:sz="4" w:space="0" w:color="000000"/>
              <w:left w:val="single" w:sz="4" w:space="0" w:color="000000"/>
              <w:bottom w:val="single" w:sz="4" w:space="0" w:color="000000"/>
              <w:right w:val="single" w:sz="4" w:space="0" w:color="000000"/>
            </w:tcBorders>
            <w:shd w:val="clear" w:color="auto" w:fill="FF0000"/>
            <w:vAlign w:val="bottom"/>
          </w:tcPr>
          <w:p w:rsidR="0024131D" w:rsidRDefault="00F92A95">
            <w:pPr>
              <w:spacing w:after="0" w:line="259" w:lineRule="auto"/>
              <w:ind w:left="3" w:right="0" w:firstLine="0"/>
              <w:jc w:val="left"/>
            </w:pPr>
            <w:r>
              <w:rPr>
                <w:sz w:val="20"/>
              </w:rPr>
              <w:t xml:space="preserve">Alto risco de viés </w:t>
            </w:r>
          </w:p>
        </w:tc>
        <w:tc>
          <w:tcPr>
            <w:tcW w:w="1579"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c>
          <w:tcPr>
            <w:tcW w:w="1454"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r>
      <w:tr w:rsidR="0024131D">
        <w:trPr>
          <w:trHeight w:val="838"/>
        </w:trPr>
        <w:tc>
          <w:tcPr>
            <w:tcW w:w="1215" w:type="dxa"/>
            <w:tcBorders>
              <w:top w:val="single" w:sz="4" w:space="0" w:color="000000"/>
              <w:left w:val="single" w:sz="4" w:space="0" w:color="000000"/>
              <w:bottom w:val="single" w:sz="4" w:space="0" w:color="000000"/>
              <w:right w:val="single" w:sz="4" w:space="0" w:color="000000"/>
            </w:tcBorders>
          </w:tcPr>
          <w:p w:rsidR="0024131D" w:rsidRDefault="00F92A95">
            <w:pPr>
              <w:spacing w:after="56" w:line="235" w:lineRule="auto"/>
              <w:ind w:left="0" w:right="0" w:firstLine="0"/>
              <w:jc w:val="center"/>
            </w:pPr>
            <w:proofErr w:type="spellStart"/>
            <w:r>
              <w:t>Gish</w:t>
            </w:r>
            <w:proofErr w:type="spellEnd"/>
            <w:r>
              <w:t xml:space="preserve">, R et al. </w:t>
            </w:r>
            <w:r>
              <w:rPr>
                <w:vertAlign w:val="superscript"/>
              </w:rPr>
              <w:t>19</w:t>
            </w:r>
            <w:r>
              <w:t xml:space="preserve"> </w:t>
            </w:r>
          </w:p>
          <w:p w:rsidR="0024131D" w:rsidRDefault="00F92A95">
            <w:pPr>
              <w:spacing w:after="0" w:line="259" w:lineRule="auto"/>
              <w:ind w:left="0" w:right="62" w:firstLine="0"/>
              <w:jc w:val="center"/>
            </w:pPr>
            <w:r>
              <w:t xml:space="preserve">(2009) </w:t>
            </w:r>
          </w:p>
        </w:tc>
        <w:tc>
          <w:tcPr>
            <w:tcW w:w="1579"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sz w:val="20"/>
              </w:rPr>
              <w:t xml:space="preserve">Baixo risco de viés </w:t>
            </w:r>
          </w:p>
        </w:tc>
        <w:tc>
          <w:tcPr>
            <w:tcW w:w="1579"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24131D" w:rsidRDefault="00F92A95">
            <w:pPr>
              <w:spacing w:after="0" w:line="259" w:lineRule="auto"/>
              <w:ind w:left="0" w:right="0" w:firstLine="0"/>
              <w:jc w:val="center"/>
            </w:pPr>
            <w:r>
              <w:rPr>
                <w:sz w:val="20"/>
              </w:rPr>
              <w:t xml:space="preserve">Algumas preocupações </w:t>
            </w:r>
          </w:p>
        </w:tc>
        <w:tc>
          <w:tcPr>
            <w:tcW w:w="1580" w:type="dxa"/>
            <w:tcBorders>
              <w:top w:val="single" w:sz="4" w:space="0" w:color="000000"/>
              <w:left w:val="single" w:sz="4" w:space="0" w:color="000000"/>
              <w:bottom w:val="single" w:sz="4" w:space="0" w:color="000000"/>
              <w:right w:val="single" w:sz="4" w:space="0" w:color="000000"/>
            </w:tcBorders>
            <w:shd w:val="clear" w:color="auto" w:fill="FF0000"/>
            <w:vAlign w:val="bottom"/>
          </w:tcPr>
          <w:p w:rsidR="0024131D" w:rsidRDefault="00F92A95">
            <w:pPr>
              <w:spacing w:after="0" w:line="259" w:lineRule="auto"/>
              <w:ind w:left="3" w:right="0" w:firstLine="0"/>
              <w:jc w:val="left"/>
            </w:pPr>
            <w:r>
              <w:rPr>
                <w:sz w:val="20"/>
              </w:rPr>
              <w:t xml:space="preserve">Alto risco de viés </w:t>
            </w:r>
          </w:p>
        </w:tc>
        <w:tc>
          <w:tcPr>
            <w:tcW w:w="1579" w:type="dxa"/>
            <w:tcBorders>
              <w:top w:val="single" w:sz="4" w:space="0" w:color="000000"/>
              <w:left w:val="single" w:sz="4" w:space="0" w:color="000000"/>
              <w:bottom w:val="single" w:sz="4" w:space="0" w:color="000000"/>
              <w:right w:val="single" w:sz="4" w:space="0" w:color="000000"/>
            </w:tcBorders>
            <w:shd w:val="clear" w:color="auto" w:fill="FF0000"/>
            <w:vAlign w:val="bottom"/>
          </w:tcPr>
          <w:p w:rsidR="0024131D" w:rsidRDefault="00F92A95">
            <w:pPr>
              <w:spacing w:after="0" w:line="259" w:lineRule="auto"/>
              <w:ind w:left="3" w:right="0" w:firstLine="0"/>
              <w:jc w:val="left"/>
            </w:pPr>
            <w:r>
              <w:rPr>
                <w:sz w:val="20"/>
              </w:rPr>
              <w:t xml:space="preserve">Alto risco de viés </w:t>
            </w:r>
          </w:p>
        </w:tc>
        <w:tc>
          <w:tcPr>
            <w:tcW w:w="145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24131D" w:rsidRDefault="00F92A95">
            <w:pPr>
              <w:spacing w:after="0" w:line="259" w:lineRule="auto"/>
              <w:ind w:left="0" w:right="0" w:firstLine="0"/>
              <w:jc w:val="center"/>
            </w:pPr>
            <w:r>
              <w:rPr>
                <w:sz w:val="20"/>
              </w:rPr>
              <w:t xml:space="preserve">Algumas preocupações </w:t>
            </w:r>
          </w:p>
        </w:tc>
      </w:tr>
    </w:tbl>
    <w:p w:rsidR="0024131D" w:rsidRDefault="00F92A95">
      <w:pPr>
        <w:spacing w:after="275" w:line="259" w:lineRule="auto"/>
        <w:ind w:left="0" w:right="0" w:firstLine="0"/>
        <w:jc w:val="left"/>
      </w:pPr>
      <w:r>
        <w:t xml:space="preserve"> </w:t>
      </w:r>
    </w:p>
    <w:p w:rsidR="0024131D" w:rsidRDefault="00F92A95">
      <w:pPr>
        <w:ind w:left="-5" w:right="627"/>
      </w:pPr>
      <w:r>
        <w:t>Além disso, a ferramenta CONSORT</w:t>
      </w:r>
      <w:r>
        <w:rPr>
          <w:vertAlign w:val="superscript"/>
        </w:rPr>
        <w:t>11</w:t>
      </w:r>
      <w:r>
        <w:rPr>
          <w:i/>
        </w:rPr>
        <w:t xml:space="preserve"> </w:t>
      </w:r>
      <w:r>
        <w:t xml:space="preserve">foi utilizada para avaliar a metodologia dos artigos, em que foram analisados a presença ou não de 25 itens na metodologia dos artigos. Se o item fosse atendido pelo estudo, era representado pela coloração verde (1 ponto), caso o item tivesse duas </w:t>
      </w:r>
      <w:r>
        <w:lastRenderedPageBreak/>
        <w:t>proposiç</w:t>
      </w:r>
      <w:r>
        <w:t>ões, fosse parcialmente atendido, era representado pela coloração amarela (0,5 ponto), (representado pela coloração amarela do quadro 2), e caso não fosse atendido, era representado pela coloração vermelha (zero ponto). A partir da análise, utilizando o CO</w:t>
      </w:r>
      <w:r>
        <w:t>NSORT</w:t>
      </w:r>
      <w:r>
        <w:rPr>
          <w:vertAlign w:val="superscript"/>
        </w:rPr>
        <w:t>11</w:t>
      </w:r>
      <w:r>
        <w:t>, o artigo Hoffmann, K et al.</w:t>
      </w:r>
      <w:r>
        <w:rPr>
          <w:vertAlign w:val="superscript"/>
        </w:rPr>
        <w:t>12</w:t>
      </w:r>
      <w:r>
        <w:t xml:space="preserve"> (2015) apresentou 23,5 pontos, o artigo </w:t>
      </w:r>
      <w:proofErr w:type="spellStart"/>
      <w:r>
        <w:t>Kudo</w:t>
      </w:r>
      <w:proofErr w:type="spellEnd"/>
      <w:r>
        <w:t>, M et al.</w:t>
      </w:r>
      <w:r>
        <w:rPr>
          <w:vertAlign w:val="superscript"/>
        </w:rPr>
        <w:t>16</w:t>
      </w:r>
      <w:r>
        <w:t xml:space="preserve"> (2014), 21,5 pontos, </w:t>
      </w:r>
      <w:proofErr w:type="spellStart"/>
      <w:r>
        <w:t>Kudo</w:t>
      </w:r>
      <w:proofErr w:type="spellEnd"/>
      <w:r>
        <w:t>, M et al.</w:t>
      </w:r>
      <w:r>
        <w:rPr>
          <w:vertAlign w:val="superscript"/>
        </w:rPr>
        <w:t>17</w:t>
      </w:r>
      <w:r>
        <w:t xml:space="preserve">(2022), 20 pontos, </w:t>
      </w:r>
      <w:proofErr w:type="spellStart"/>
      <w:r>
        <w:t>Lencioni</w:t>
      </w:r>
      <w:proofErr w:type="spellEnd"/>
      <w:r>
        <w:t xml:space="preserve">, R et al. </w:t>
      </w:r>
      <w:r>
        <w:rPr>
          <w:vertAlign w:val="superscript"/>
        </w:rPr>
        <w:t>13</w:t>
      </w:r>
      <w:r>
        <w:t>(2016), 16,5 pontos, Meyer, T et al.</w:t>
      </w:r>
      <w:r>
        <w:rPr>
          <w:vertAlign w:val="superscript"/>
        </w:rPr>
        <w:t>14</w:t>
      </w:r>
      <w:r>
        <w:t>(2017), 22 pontos, o artigo Pinter, M et al.</w:t>
      </w:r>
      <w:r>
        <w:rPr>
          <w:vertAlign w:val="superscript"/>
        </w:rPr>
        <w:t>1</w:t>
      </w:r>
      <w:r>
        <w:rPr>
          <w:vertAlign w:val="superscript"/>
        </w:rPr>
        <w:t>5</w:t>
      </w:r>
      <w:r>
        <w:t xml:space="preserve">(2015) 20 pontos, e </w:t>
      </w:r>
      <w:proofErr w:type="spellStart"/>
      <w:r>
        <w:t>Sansonno</w:t>
      </w:r>
      <w:proofErr w:type="spellEnd"/>
      <w:r>
        <w:t>, M et al.</w:t>
      </w:r>
      <w:r>
        <w:rPr>
          <w:vertAlign w:val="superscript"/>
        </w:rPr>
        <w:t>18</w:t>
      </w:r>
      <w:r>
        <w:t xml:space="preserve"> (2012), 19,5 pontos. Utilizou-se como ponto de corte para essa revisão, os artigos com pontuação igual ou superior a 20 (80%). No entanto, os artigos de </w:t>
      </w:r>
      <w:proofErr w:type="spellStart"/>
      <w:r>
        <w:t>Lencioni</w:t>
      </w:r>
      <w:proofErr w:type="spellEnd"/>
      <w:r>
        <w:t xml:space="preserve">, R et al. </w:t>
      </w:r>
      <w:r>
        <w:rPr>
          <w:vertAlign w:val="superscript"/>
        </w:rPr>
        <w:t>13</w:t>
      </w:r>
      <w:r>
        <w:t xml:space="preserve">(2016) e </w:t>
      </w:r>
      <w:proofErr w:type="spellStart"/>
      <w:r>
        <w:t>Sansonno</w:t>
      </w:r>
      <w:proofErr w:type="spellEnd"/>
      <w:r>
        <w:t>, M et al.</w:t>
      </w:r>
      <w:r>
        <w:rPr>
          <w:vertAlign w:val="superscript"/>
        </w:rPr>
        <w:t>18</w:t>
      </w:r>
      <w:r>
        <w:t xml:space="preserve"> (2012), fo</w:t>
      </w:r>
      <w:r>
        <w:t xml:space="preserve">ram incluídos nesta revisão, por serem importantes para as análises pretendidas (Quadro 2). </w:t>
      </w:r>
    </w:p>
    <w:p w:rsidR="0024131D" w:rsidRDefault="00F92A95">
      <w:pPr>
        <w:spacing w:after="270" w:line="259" w:lineRule="auto"/>
        <w:ind w:left="0" w:right="0" w:firstLine="0"/>
        <w:jc w:val="left"/>
      </w:pPr>
      <w:r>
        <w:t xml:space="preserve"> </w:t>
      </w:r>
    </w:p>
    <w:p w:rsidR="0024131D" w:rsidRDefault="00F92A95">
      <w:pPr>
        <w:spacing w:after="238" w:line="259" w:lineRule="auto"/>
        <w:ind w:left="-5" w:right="48"/>
      </w:pPr>
      <w:r>
        <w:t>Quadro 2: Aplicação do Checklist CONSORT</w:t>
      </w:r>
      <w:r>
        <w:rPr>
          <w:vertAlign w:val="superscript"/>
        </w:rPr>
        <w:t>11</w:t>
      </w:r>
      <w:r>
        <w:t xml:space="preserve">.  </w:t>
      </w:r>
    </w:p>
    <w:tbl>
      <w:tblPr>
        <w:tblStyle w:val="TableGrid"/>
        <w:tblW w:w="9169" w:type="dxa"/>
        <w:tblInd w:w="-47" w:type="dxa"/>
        <w:tblCellMar>
          <w:top w:w="13" w:type="dxa"/>
          <w:left w:w="68" w:type="dxa"/>
          <w:bottom w:w="5" w:type="dxa"/>
          <w:right w:w="7" w:type="dxa"/>
        </w:tblCellMar>
        <w:tblLook w:val="04A0" w:firstRow="1" w:lastRow="0" w:firstColumn="1" w:lastColumn="0" w:noHBand="0" w:noVBand="1"/>
      </w:tblPr>
      <w:tblGrid>
        <w:gridCol w:w="1045"/>
        <w:gridCol w:w="1175"/>
        <w:gridCol w:w="1175"/>
        <w:gridCol w:w="1150"/>
        <w:gridCol w:w="1150"/>
        <w:gridCol w:w="1150"/>
        <w:gridCol w:w="1150"/>
        <w:gridCol w:w="1174"/>
      </w:tblGrid>
      <w:tr w:rsidR="0024131D">
        <w:trPr>
          <w:trHeight w:val="836"/>
        </w:trPr>
        <w:tc>
          <w:tcPr>
            <w:tcW w:w="1046" w:type="dxa"/>
            <w:tcBorders>
              <w:top w:val="single" w:sz="4" w:space="0" w:color="000000"/>
              <w:left w:val="single" w:sz="4" w:space="0" w:color="000000"/>
              <w:bottom w:val="single" w:sz="4" w:space="0" w:color="000000"/>
              <w:right w:val="single" w:sz="4" w:space="0" w:color="000000"/>
            </w:tcBorders>
            <w:shd w:val="clear" w:color="auto" w:fill="D9E1F2"/>
            <w:vAlign w:val="bottom"/>
          </w:tcPr>
          <w:p w:rsidR="0024131D" w:rsidRDefault="00F92A95">
            <w:pPr>
              <w:spacing w:after="0" w:line="259" w:lineRule="auto"/>
              <w:ind w:left="0" w:right="0" w:firstLine="0"/>
              <w:jc w:val="center"/>
            </w:pPr>
            <w:r>
              <w:t xml:space="preserve">Checklist Item </w:t>
            </w:r>
          </w:p>
        </w:tc>
        <w:tc>
          <w:tcPr>
            <w:tcW w:w="1175"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28" w:right="0" w:firstLine="0"/>
            </w:pPr>
            <w:r>
              <w:t xml:space="preserve">Hoffmann </w:t>
            </w:r>
          </w:p>
          <w:p w:rsidR="0024131D" w:rsidRDefault="00F92A95">
            <w:pPr>
              <w:spacing w:after="0" w:line="259" w:lineRule="auto"/>
              <w:ind w:left="0" w:firstLine="0"/>
              <w:jc w:val="center"/>
            </w:pPr>
            <w:r>
              <w:t xml:space="preserve">et </w:t>
            </w:r>
          </w:p>
          <w:p w:rsidR="0024131D" w:rsidRDefault="00F92A95">
            <w:pPr>
              <w:spacing w:after="0" w:line="259" w:lineRule="auto"/>
              <w:ind w:left="4" w:right="0" w:firstLine="0"/>
            </w:pPr>
            <w:r>
              <w:t>al.</w:t>
            </w:r>
            <w:r>
              <w:rPr>
                <w:vertAlign w:val="superscript"/>
              </w:rPr>
              <w:t>12</w:t>
            </w:r>
            <w:r>
              <w:t xml:space="preserve">(2015) </w:t>
            </w:r>
          </w:p>
        </w:tc>
        <w:tc>
          <w:tcPr>
            <w:tcW w:w="1175" w:type="dxa"/>
            <w:tcBorders>
              <w:top w:val="single" w:sz="4" w:space="0" w:color="000000"/>
              <w:left w:val="single" w:sz="4" w:space="0" w:color="000000"/>
              <w:bottom w:val="single" w:sz="4" w:space="0" w:color="000000"/>
              <w:right w:val="single" w:sz="4" w:space="0" w:color="000000"/>
            </w:tcBorders>
            <w:shd w:val="clear" w:color="auto" w:fill="D9E1F2"/>
            <w:vAlign w:val="bottom"/>
          </w:tcPr>
          <w:p w:rsidR="0024131D" w:rsidRDefault="00F92A95">
            <w:pPr>
              <w:spacing w:after="0" w:line="259" w:lineRule="auto"/>
              <w:ind w:left="0" w:right="0" w:firstLine="0"/>
              <w:jc w:val="center"/>
            </w:pPr>
            <w:proofErr w:type="spellStart"/>
            <w:r>
              <w:t>Kudo</w:t>
            </w:r>
            <w:proofErr w:type="spellEnd"/>
            <w:r>
              <w:t>, et al.</w:t>
            </w:r>
            <w:r>
              <w:rPr>
                <w:vertAlign w:val="superscript"/>
              </w:rPr>
              <w:t>16</w:t>
            </w:r>
            <w:r>
              <w:t xml:space="preserve">(2014) </w:t>
            </w:r>
          </w:p>
        </w:tc>
        <w:tc>
          <w:tcPr>
            <w:tcW w:w="1150"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38" w:lineRule="auto"/>
              <w:ind w:left="0" w:right="0" w:firstLine="0"/>
              <w:jc w:val="center"/>
            </w:pPr>
            <w:proofErr w:type="spellStart"/>
            <w:r>
              <w:t>Kudo</w:t>
            </w:r>
            <w:proofErr w:type="spellEnd"/>
            <w:r>
              <w:t xml:space="preserve">, et al. </w:t>
            </w:r>
          </w:p>
          <w:p w:rsidR="0024131D" w:rsidRDefault="00F92A95">
            <w:pPr>
              <w:spacing w:after="0" w:line="259" w:lineRule="auto"/>
              <w:ind w:left="107" w:right="0" w:firstLine="0"/>
              <w:jc w:val="left"/>
            </w:pPr>
            <w:r>
              <w:rPr>
                <w:vertAlign w:val="superscript"/>
              </w:rPr>
              <w:t>17</w:t>
            </w:r>
            <w:r>
              <w:t xml:space="preserve">(2022) </w:t>
            </w:r>
          </w:p>
        </w:tc>
        <w:tc>
          <w:tcPr>
            <w:tcW w:w="1150"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38" w:lineRule="auto"/>
              <w:ind w:left="0" w:right="0" w:firstLine="0"/>
              <w:jc w:val="center"/>
            </w:pPr>
            <w:proofErr w:type="spellStart"/>
            <w:r>
              <w:t>Lencioni</w:t>
            </w:r>
            <w:proofErr w:type="spellEnd"/>
            <w:r>
              <w:t xml:space="preserve">, et al. </w:t>
            </w:r>
          </w:p>
          <w:p w:rsidR="0024131D" w:rsidRDefault="00F92A95">
            <w:pPr>
              <w:spacing w:after="0" w:line="259" w:lineRule="auto"/>
              <w:ind w:left="107" w:right="0" w:firstLine="0"/>
              <w:jc w:val="left"/>
            </w:pPr>
            <w:r>
              <w:rPr>
                <w:vertAlign w:val="superscript"/>
              </w:rPr>
              <w:t>13</w:t>
            </w:r>
            <w:r>
              <w:t xml:space="preserve">(2016) </w:t>
            </w:r>
          </w:p>
        </w:tc>
        <w:tc>
          <w:tcPr>
            <w:tcW w:w="1150"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38" w:lineRule="auto"/>
              <w:ind w:left="0" w:right="0" w:firstLine="0"/>
              <w:jc w:val="center"/>
            </w:pPr>
            <w:r>
              <w:t xml:space="preserve">Meyer, et al. </w:t>
            </w:r>
          </w:p>
          <w:p w:rsidR="0024131D" w:rsidRDefault="00F92A95">
            <w:pPr>
              <w:spacing w:after="0" w:line="259" w:lineRule="auto"/>
              <w:ind w:left="107" w:right="0" w:firstLine="0"/>
              <w:jc w:val="left"/>
            </w:pPr>
            <w:r>
              <w:rPr>
                <w:vertAlign w:val="superscript"/>
              </w:rPr>
              <w:t>14</w:t>
            </w:r>
            <w:r>
              <w:t xml:space="preserve">(2017) </w:t>
            </w:r>
          </w:p>
        </w:tc>
        <w:tc>
          <w:tcPr>
            <w:tcW w:w="1150"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38" w:lineRule="auto"/>
              <w:ind w:left="0" w:right="0" w:firstLine="0"/>
              <w:jc w:val="center"/>
            </w:pPr>
            <w:r>
              <w:t xml:space="preserve">Pinter, et al. </w:t>
            </w:r>
          </w:p>
          <w:p w:rsidR="0024131D" w:rsidRDefault="00F92A95">
            <w:pPr>
              <w:spacing w:after="0" w:line="259" w:lineRule="auto"/>
              <w:ind w:left="107" w:right="0" w:firstLine="0"/>
              <w:jc w:val="left"/>
            </w:pPr>
            <w:r>
              <w:rPr>
                <w:vertAlign w:val="superscript"/>
              </w:rPr>
              <w:t>15</w:t>
            </w:r>
            <w:r>
              <w:t xml:space="preserve">(2015) </w:t>
            </w:r>
          </w:p>
        </w:tc>
        <w:tc>
          <w:tcPr>
            <w:tcW w:w="1174"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23" w:right="0" w:firstLine="0"/>
            </w:pPr>
            <w:proofErr w:type="spellStart"/>
            <w:r>
              <w:t>Sansonno</w:t>
            </w:r>
            <w:proofErr w:type="spellEnd"/>
            <w:r>
              <w:t xml:space="preserve">, </w:t>
            </w:r>
          </w:p>
          <w:p w:rsidR="0024131D" w:rsidRDefault="00F92A95">
            <w:pPr>
              <w:spacing w:after="0" w:line="259" w:lineRule="auto"/>
              <w:ind w:left="0" w:right="59" w:firstLine="0"/>
              <w:jc w:val="center"/>
            </w:pPr>
            <w:r>
              <w:t xml:space="preserve">et </w:t>
            </w:r>
          </w:p>
          <w:p w:rsidR="0024131D" w:rsidRDefault="00F92A95">
            <w:pPr>
              <w:spacing w:after="0" w:line="259" w:lineRule="auto"/>
              <w:ind w:left="4" w:right="0" w:firstLine="0"/>
            </w:pPr>
            <w:r>
              <w:t>al.</w:t>
            </w:r>
            <w:r>
              <w:rPr>
                <w:vertAlign w:val="superscript"/>
              </w:rPr>
              <w:t>18</w:t>
            </w:r>
            <w:r>
              <w:t xml:space="preserve">(2012) </w:t>
            </w:r>
          </w:p>
        </w:tc>
      </w:tr>
      <w:tr w:rsidR="0024131D">
        <w:trPr>
          <w:trHeight w:val="286"/>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0" w:right="64" w:firstLine="0"/>
              <w:jc w:val="center"/>
            </w:pPr>
            <w:r>
              <w:t xml:space="preserve">Item 1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r>
      <w:tr w:rsidR="0024131D">
        <w:trPr>
          <w:trHeight w:val="286"/>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0" w:right="64" w:firstLine="0"/>
              <w:jc w:val="center"/>
            </w:pPr>
            <w:r>
              <w:t xml:space="preserve">Item 2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r>
      <w:tr w:rsidR="0024131D">
        <w:trPr>
          <w:trHeight w:val="287"/>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0" w:right="64" w:firstLine="0"/>
              <w:jc w:val="center"/>
            </w:pPr>
            <w:r>
              <w:t xml:space="preserve">Item 3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r>
      <w:tr w:rsidR="0024131D">
        <w:trPr>
          <w:trHeight w:val="287"/>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0" w:right="64" w:firstLine="0"/>
              <w:jc w:val="center"/>
            </w:pPr>
            <w:r>
              <w:t xml:space="preserve">Item 4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r>
      <w:tr w:rsidR="0024131D">
        <w:trPr>
          <w:trHeight w:val="286"/>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0" w:right="64" w:firstLine="0"/>
              <w:jc w:val="center"/>
            </w:pPr>
            <w:r>
              <w:t xml:space="preserve">Item 5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0000"/>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0000"/>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r>
      <w:tr w:rsidR="0024131D">
        <w:trPr>
          <w:trHeight w:val="286"/>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0" w:right="64" w:firstLine="0"/>
              <w:jc w:val="center"/>
            </w:pPr>
            <w:r>
              <w:t xml:space="preserve">Item 6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4" w:right="0" w:firstLine="0"/>
              <w:jc w:val="left"/>
            </w:pPr>
            <w:r>
              <w:t xml:space="preserve">  </w:t>
            </w:r>
          </w:p>
        </w:tc>
      </w:tr>
      <w:tr w:rsidR="0024131D">
        <w:trPr>
          <w:trHeight w:val="286"/>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0" w:right="64" w:firstLine="0"/>
              <w:jc w:val="center"/>
            </w:pPr>
            <w:r>
              <w:t xml:space="preserve">Item 7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0000"/>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4" w:right="0" w:firstLine="0"/>
              <w:jc w:val="left"/>
            </w:pPr>
            <w:r>
              <w:t xml:space="preserve">  </w:t>
            </w:r>
          </w:p>
        </w:tc>
      </w:tr>
      <w:tr w:rsidR="0024131D">
        <w:trPr>
          <w:trHeight w:val="286"/>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0" w:right="64" w:firstLine="0"/>
              <w:jc w:val="center"/>
            </w:pPr>
            <w:r>
              <w:t xml:space="preserve">Item 8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0000"/>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r>
      <w:tr w:rsidR="0024131D">
        <w:trPr>
          <w:trHeight w:val="287"/>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0" w:right="64" w:firstLine="0"/>
              <w:jc w:val="center"/>
            </w:pPr>
            <w:r>
              <w:t xml:space="preserve">Item 9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0000"/>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r>
      <w:tr w:rsidR="0024131D">
        <w:trPr>
          <w:trHeight w:val="287"/>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84" w:right="0" w:firstLine="0"/>
              <w:jc w:val="left"/>
            </w:pPr>
            <w:r>
              <w:t xml:space="preserve">Item 10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FF0000"/>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0000"/>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0000"/>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0000"/>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r>
      <w:tr w:rsidR="0024131D">
        <w:trPr>
          <w:trHeight w:val="286"/>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84" w:right="0" w:firstLine="0"/>
              <w:jc w:val="left"/>
            </w:pPr>
            <w:r>
              <w:t xml:space="preserve">Item 11 </w:t>
            </w:r>
          </w:p>
        </w:tc>
        <w:tc>
          <w:tcPr>
            <w:tcW w:w="1175"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0000"/>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4" w:right="0" w:firstLine="0"/>
              <w:jc w:val="left"/>
            </w:pPr>
            <w:r>
              <w:t xml:space="preserve">  </w:t>
            </w:r>
          </w:p>
        </w:tc>
      </w:tr>
      <w:tr w:rsidR="0024131D">
        <w:trPr>
          <w:trHeight w:val="286"/>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84" w:right="0" w:firstLine="0"/>
              <w:jc w:val="left"/>
            </w:pPr>
            <w:r>
              <w:t xml:space="preserve">Item 12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4" w:right="0" w:firstLine="0"/>
              <w:jc w:val="left"/>
            </w:pPr>
            <w:r>
              <w:t xml:space="preserve">  </w:t>
            </w:r>
          </w:p>
        </w:tc>
      </w:tr>
      <w:tr w:rsidR="0024131D">
        <w:trPr>
          <w:trHeight w:val="286"/>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84" w:right="0" w:firstLine="0"/>
              <w:jc w:val="left"/>
            </w:pPr>
            <w:r>
              <w:t xml:space="preserve">Item 13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r>
      <w:tr w:rsidR="0024131D">
        <w:trPr>
          <w:trHeight w:val="286"/>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84" w:right="0" w:firstLine="0"/>
              <w:jc w:val="left"/>
            </w:pPr>
            <w:r>
              <w:t xml:space="preserve">Item 14 </w:t>
            </w:r>
          </w:p>
        </w:tc>
        <w:tc>
          <w:tcPr>
            <w:tcW w:w="1175"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0000"/>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0000"/>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0000"/>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0000"/>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FF0000"/>
          </w:tcPr>
          <w:p w:rsidR="0024131D" w:rsidRDefault="00F92A95">
            <w:pPr>
              <w:spacing w:after="0" w:line="259" w:lineRule="auto"/>
              <w:ind w:left="4" w:right="0" w:firstLine="0"/>
              <w:jc w:val="left"/>
            </w:pPr>
            <w:r>
              <w:t xml:space="preserve">  </w:t>
            </w:r>
          </w:p>
        </w:tc>
      </w:tr>
      <w:tr w:rsidR="0024131D">
        <w:trPr>
          <w:trHeight w:val="286"/>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84" w:right="0" w:firstLine="0"/>
              <w:jc w:val="left"/>
            </w:pPr>
            <w:r>
              <w:t xml:space="preserve">Item 15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r>
      <w:tr w:rsidR="0024131D">
        <w:trPr>
          <w:trHeight w:val="287"/>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84" w:right="0" w:firstLine="0"/>
              <w:jc w:val="left"/>
            </w:pPr>
            <w:r>
              <w:t xml:space="preserve">Item 16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FF0000"/>
          </w:tcPr>
          <w:p w:rsidR="0024131D" w:rsidRDefault="00F92A95">
            <w:pPr>
              <w:spacing w:after="0" w:line="259" w:lineRule="auto"/>
              <w:ind w:left="4" w:right="0" w:firstLine="0"/>
              <w:jc w:val="left"/>
            </w:pPr>
            <w:r>
              <w:t xml:space="preserve">  </w:t>
            </w:r>
          </w:p>
        </w:tc>
      </w:tr>
      <w:tr w:rsidR="0024131D">
        <w:trPr>
          <w:trHeight w:val="287"/>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84" w:right="0" w:firstLine="0"/>
              <w:jc w:val="left"/>
            </w:pPr>
            <w:r>
              <w:t xml:space="preserve">Item 17 </w:t>
            </w:r>
          </w:p>
        </w:tc>
        <w:tc>
          <w:tcPr>
            <w:tcW w:w="1175"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FFFF00"/>
          </w:tcPr>
          <w:p w:rsidR="0024131D" w:rsidRDefault="00F92A95">
            <w:pPr>
              <w:spacing w:after="0" w:line="259" w:lineRule="auto"/>
              <w:ind w:left="4" w:right="0" w:firstLine="0"/>
              <w:jc w:val="left"/>
            </w:pPr>
            <w:r>
              <w:t xml:space="preserve">  </w:t>
            </w:r>
          </w:p>
        </w:tc>
      </w:tr>
      <w:tr w:rsidR="0024131D">
        <w:trPr>
          <w:trHeight w:val="286"/>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84" w:right="0" w:firstLine="0"/>
              <w:jc w:val="left"/>
            </w:pPr>
            <w:r>
              <w:t xml:space="preserve">Item 18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r>
      <w:tr w:rsidR="0024131D">
        <w:trPr>
          <w:trHeight w:val="286"/>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84" w:right="0" w:firstLine="0"/>
              <w:jc w:val="left"/>
            </w:pPr>
            <w:r>
              <w:t xml:space="preserve">Item 19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r>
      <w:tr w:rsidR="0024131D">
        <w:trPr>
          <w:trHeight w:val="286"/>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84" w:right="0" w:firstLine="0"/>
              <w:jc w:val="left"/>
            </w:pPr>
            <w:r>
              <w:t xml:space="preserve">Item 20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r>
      <w:tr w:rsidR="0024131D">
        <w:trPr>
          <w:trHeight w:val="286"/>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84" w:right="0" w:firstLine="0"/>
              <w:jc w:val="left"/>
            </w:pPr>
            <w:r>
              <w:t xml:space="preserve">Item 21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FF0000"/>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FF0000"/>
          </w:tcPr>
          <w:p w:rsidR="0024131D" w:rsidRDefault="00F92A95">
            <w:pPr>
              <w:spacing w:after="0" w:line="259" w:lineRule="auto"/>
              <w:ind w:left="4" w:right="0" w:firstLine="0"/>
              <w:jc w:val="left"/>
            </w:pPr>
            <w:r>
              <w:t xml:space="preserve">  </w:t>
            </w:r>
          </w:p>
        </w:tc>
      </w:tr>
      <w:tr w:rsidR="0024131D">
        <w:trPr>
          <w:trHeight w:val="287"/>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84" w:right="0" w:firstLine="0"/>
              <w:jc w:val="left"/>
            </w:pPr>
            <w:r>
              <w:t xml:space="preserve">Item 22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r>
      <w:tr w:rsidR="0024131D">
        <w:trPr>
          <w:trHeight w:val="287"/>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84" w:right="0" w:firstLine="0"/>
              <w:jc w:val="left"/>
            </w:pPr>
            <w:r>
              <w:t xml:space="preserve">Item 23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0000"/>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r>
      <w:tr w:rsidR="0024131D">
        <w:trPr>
          <w:trHeight w:val="286"/>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84" w:right="0" w:firstLine="0"/>
              <w:jc w:val="left"/>
            </w:pPr>
            <w:r>
              <w:t xml:space="preserve">Item 24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0000"/>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r>
      <w:tr w:rsidR="0024131D">
        <w:trPr>
          <w:trHeight w:val="286"/>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84" w:right="0" w:firstLine="0"/>
              <w:jc w:val="left"/>
            </w:pPr>
            <w:r>
              <w:t xml:space="preserve">Item 25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2"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1" w:right="0"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4" w:right="0" w:firstLine="0"/>
              <w:jc w:val="left"/>
            </w:pPr>
            <w:r>
              <w:t xml:space="preserve">  </w:t>
            </w:r>
          </w:p>
        </w:tc>
      </w:tr>
      <w:tr w:rsidR="0024131D">
        <w:trPr>
          <w:trHeight w:val="284"/>
        </w:trPr>
        <w:tc>
          <w:tcPr>
            <w:tcW w:w="1046"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0" w:right="65" w:firstLine="0"/>
              <w:jc w:val="center"/>
            </w:pPr>
            <w:r>
              <w:t xml:space="preserve">Total  </w:t>
            </w:r>
          </w:p>
        </w:tc>
        <w:tc>
          <w:tcPr>
            <w:tcW w:w="1175"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0" w:firstLine="0"/>
              <w:jc w:val="right"/>
            </w:pPr>
            <w:r>
              <w:t xml:space="preserve">23,5 </w:t>
            </w:r>
          </w:p>
        </w:tc>
        <w:tc>
          <w:tcPr>
            <w:tcW w:w="1175"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0" w:right="62" w:firstLine="0"/>
              <w:jc w:val="right"/>
            </w:pPr>
            <w:r>
              <w:t xml:space="preserve">21,5 </w:t>
            </w:r>
          </w:p>
        </w:tc>
        <w:tc>
          <w:tcPr>
            <w:tcW w:w="1150"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0" w:right="62" w:firstLine="0"/>
              <w:jc w:val="right"/>
            </w:pPr>
            <w:r>
              <w:t xml:space="preserve">20 </w:t>
            </w:r>
          </w:p>
        </w:tc>
        <w:tc>
          <w:tcPr>
            <w:tcW w:w="1150"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0" w:right="62" w:firstLine="0"/>
              <w:jc w:val="right"/>
            </w:pPr>
            <w:r>
              <w:t xml:space="preserve">16,5 </w:t>
            </w:r>
          </w:p>
        </w:tc>
        <w:tc>
          <w:tcPr>
            <w:tcW w:w="1150"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0" w:right="62" w:firstLine="0"/>
              <w:jc w:val="right"/>
            </w:pPr>
            <w:r>
              <w:t xml:space="preserve">22 </w:t>
            </w:r>
          </w:p>
        </w:tc>
        <w:tc>
          <w:tcPr>
            <w:tcW w:w="1150"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0" w:right="62" w:firstLine="0"/>
              <w:jc w:val="right"/>
            </w:pPr>
            <w:r>
              <w:t xml:space="preserve">20 </w:t>
            </w:r>
          </w:p>
        </w:tc>
        <w:tc>
          <w:tcPr>
            <w:tcW w:w="1174" w:type="dxa"/>
            <w:tcBorders>
              <w:top w:val="single" w:sz="4" w:space="0" w:color="000000"/>
              <w:left w:val="single" w:sz="4" w:space="0" w:color="000000"/>
              <w:bottom w:val="single" w:sz="4" w:space="0" w:color="000000"/>
              <w:right w:val="single" w:sz="4" w:space="0" w:color="000000"/>
            </w:tcBorders>
            <w:shd w:val="clear" w:color="auto" w:fill="D9E1F2"/>
          </w:tcPr>
          <w:p w:rsidR="0024131D" w:rsidRDefault="00F92A95">
            <w:pPr>
              <w:spacing w:after="0" w:line="259" w:lineRule="auto"/>
              <w:ind w:left="0" w:right="60" w:firstLine="0"/>
              <w:jc w:val="right"/>
            </w:pPr>
            <w:r>
              <w:t xml:space="preserve">19,5 </w:t>
            </w:r>
          </w:p>
        </w:tc>
      </w:tr>
    </w:tbl>
    <w:p w:rsidR="0024131D" w:rsidRDefault="00F92A95">
      <w:pPr>
        <w:spacing w:after="273" w:line="259" w:lineRule="auto"/>
        <w:ind w:left="0" w:right="0" w:firstLine="0"/>
        <w:jc w:val="left"/>
      </w:pPr>
      <w:r>
        <w:lastRenderedPageBreak/>
        <w:t xml:space="preserve"> </w:t>
      </w:r>
    </w:p>
    <w:p w:rsidR="0024131D" w:rsidRDefault="00F92A95">
      <w:pPr>
        <w:ind w:left="-5" w:right="629"/>
      </w:pPr>
      <w:r>
        <w:t xml:space="preserve">Com relação ao local em que os estudos foram realizados, cinco ECR foram realizados em apenas um país (Hoffmann, K- </w:t>
      </w:r>
      <w:r>
        <w:t>et al.</w:t>
      </w:r>
      <w:r>
        <w:rPr>
          <w:vertAlign w:val="superscript"/>
        </w:rPr>
        <w:t>12</w:t>
      </w:r>
      <w:r>
        <w:t xml:space="preserve"> (2015) na Alemanha, </w:t>
      </w:r>
      <w:proofErr w:type="spellStart"/>
      <w:r>
        <w:t>Kudo</w:t>
      </w:r>
      <w:proofErr w:type="spellEnd"/>
      <w:r>
        <w:t>, M- et al.</w:t>
      </w:r>
      <w:r>
        <w:rPr>
          <w:vertAlign w:val="superscript"/>
        </w:rPr>
        <w:t>17</w:t>
      </w:r>
      <w:r>
        <w:t xml:space="preserve"> (2022), no Japão, Meyer, T- et al. </w:t>
      </w:r>
      <w:r>
        <w:rPr>
          <w:vertAlign w:val="superscript"/>
        </w:rPr>
        <w:t>14</w:t>
      </w:r>
      <w:r>
        <w:t>(2017), na Inglaterra, Pinter, M- et al.</w:t>
      </w:r>
      <w:r>
        <w:rPr>
          <w:vertAlign w:val="superscript"/>
        </w:rPr>
        <w:t>15</w:t>
      </w:r>
      <w:r>
        <w:t xml:space="preserve"> (2015) na Áustria e </w:t>
      </w:r>
      <w:proofErr w:type="spellStart"/>
      <w:r>
        <w:t>Sansonno</w:t>
      </w:r>
      <w:proofErr w:type="spellEnd"/>
      <w:r>
        <w:t>, D- et al.</w:t>
      </w:r>
      <w:r>
        <w:rPr>
          <w:vertAlign w:val="superscript"/>
        </w:rPr>
        <w:t>18</w:t>
      </w:r>
      <w:r>
        <w:t xml:space="preserve"> (2012), na Itália. Além disso, um estudo foi realizado em treze países diferentes e um </w:t>
      </w:r>
      <w:r>
        <w:t>estudo foi realizado em doze países (Quadro 1). A média de idade dos participantes dos estudos variou bastante, com a média entre a menor e maior idade dos participantes do artigo Hoffmann, K- et al.</w:t>
      </w:r>
      <w:r>
        <w:rPr>
          <w:vertAlign w:val="superscript"/>
        </w:rPr>
        <w:t xml:space="preserve"> 12</w:t>
      </w:r>
      <w:r>
        <w:t xml:space="preserve"> (2015) de 56 anos, do </w:t>
      </w:r>
      <w:proofErr w:type="spellStart"/>
      <w:r>
        <w:t>Kudo</w:t>
      </w:r>
      <w:proofErr w:type="spellEnd"/>
      <w:r>
        <w:t>, M- et al.</w:t>
      </w:r>
      <w:r>
        <w:rPr>
          <w:vertAlign w:val="superscript"/>
        </w:rPr>
        <w:t xml:space="preserve"> 16</w:t>
      </w:r>
      <w:r>
        <w:t xml:space="preserve"> (2014) de 53</w:t>
      </w:r>
      <w:r>
        <w:t xml:space="preserve"> anos, do </w:t>
      </w:r>
      <w:proofErr w:type="spellStart"/>
      <w:r>
        <w:t>Kudo</w:t>
      </w:r>
      <w:proofErr w:type="spellEnd"/>
      <w:r>
        <w:t xml:space="preserve">, </w:t>
      </w:r>
      <w:proofErr w:type="spellStart"/>
      <w:r>
        <w:t>M-et</w:t>
      </w:r>
      <w:proofErr w:type="spellEnd"/>
      <w:r>
        <w:t xml:space="preserve"> al.</w:t>
      </w:r>
      <w:r>
        <w:rPr>
          <w:vertAlign w:val="superscript"/>
        </w:rPr>
        <w:t xml:space="preserve"> 17</w:t>
      </w:r>
      <w:r>
        <w:t xml:space="preserve"> (2022), do </w:t>
      </w:r>
      <w:proofErr w:type="spellStart"/>
      <w:r>
        <w:t>Lencioni</w:t>
      </w:r>
      <w:proofErr w:type="spellEnd"/>
      <w:r>
        <w:t>, R- et al.</w:t>
      </w:r>
      <w:r>
        <w:rPr>
          <w:vertAlign w:val="superscript"/>
        </w:rPr>
        <w:t xml:space="preserve"> 13</w:t>
      </w:r>
      <w:r>
        <w:t xml:space="preserve"> (2016) de 64 anos, do Meyer, T- et al.</w:t>
      </w:r>
      <w:r>
        <w:rPr>
          <w:vertAlign w:val="superscript"/>
        </w:rPr>
        <w:t xml:space="preserve"> 14</w:t>
      </w:r>
      <w:r>
        <w:t xml:space="preserve"> (2017) de 65,5 anos, do Pinter, M- et al.</w:t>
      </w:r>
      <w:r>
        <w:rPr>
          <w:vertAlign w:val="superscript"/>
        </w:rPr>
        <w:t xml:space="preserve"> 15</w:t>
      </w:r>
      <w:r>
        <w:t xml:space="preserve"> (2015) de 62 anos, e o </w:t>
      </w:r>
      <w:proofErr w:type="spellStart"/>
      <w:r>
        <w:t>Sansonno</w:t>
      </w:r>
      <w:proofErr w:type="spellEnd"/>
      <w:r>
        <w:t>, D- et al.</w:t>
      </w:r>
      <w:r>
        <w:rPr>
          <w:vertAlign w:val="superscript"/>
        </w:rPr>
        <w:t xml:space="preserve"> 18</w:t>
      </w:r>
      <w:r>
        <w:t xml:space="preserve"> (2012) de 72,8 anos (Quadro 3).  </w:t>
      </w:r>
    </w:p>
    <w:p w:rsidR="0024131D" w:rsidRDefault="00F92A95">
      <w:pPr>
        <w:spacing w:after="273" w:line="259" w:lineRule="auto"/>
        <w:ind w:left="0" w:right="0" w:firstLine="0"/>
        <w:jc w:val="left"/>
      </w:pPr>
      <w:r>
        <w:t xml:space="preserve"> </w:t>
      </w:r>
    </w:p>
    <w:p w:rsidR="0024131D" w:rsidRDefault="00F92A95">
      <w:pPr>
        <w:spacing w:after="0" w:line="259" w:lineRule="auto"/>
        <w:ind w:left="-5" w:right="48"/>
      </w:pPr>
      <w:r>
        <w:t>Quadro 3: Características</w:t>
      </w:r>
      <w:r>
        <w:t xml:space="preserve"> gerais dos estudos selecionados para a Revisão. </w:t>
      </w:r>
    </w:p>
    <w:tbl>
      <w:tblPr>
        <w:tblStyle w:val="TableGrid"/>
        <w:tblW w:w="9062" w:type="dxa"/>
        <w:tblInd w:w="7" w:type="dxa"/>
        <w:tblCellMar>
          <w:top w:w="15" w:type="dxa"/>
          <w:left w:w="0" w:type="dxa"/>
          <w:bottom w:w="5" w:type="dxa"/>
          <w:right w:w="67" w:type="dxa"/>
        </w:tblCellMar>
        <w:tblLook w:val="04A0" w:firstRow="1" w:lastRow="0" w:firstColumn="1" w:lastColumn="0" w:noHBand="0" w:noVBand="1"/>
      </w:tblPr>
      <w:tblGrid>
        <w:gridCol w:w="3133"/>
        <w:gridCol w:w="3034"/>
        <w:gridCol w:w="2895"/>
      </w:tblGrid>
      <w:tr w:rsidR="0024131D">
        <w:trPr>
          <w:trHeight w:val="320"/>
        </w:trPr>
        <w:tc>
          <w:tcPr>
            <w:tcW w:w="3133" w:type="dxa"/>
            <w:tcBorders>
              <w:top w:val="nil"/>
              <w:left w:val="nil"/>
              <w:bottom w:val="nil"/>
              <w:right w:val="nil"/>
            </w:tcBorders>
            <w:shd w:val="clear" w:color="auto" w:fill="000000"/>
          </w:tcPr>
          <w:p w:rsidR="0024131D" w:rsidRDefault="00F92A95">
            <w:pPr>
              <w:spacing w:after="0" w:line="259" w:lineRule="auto"/>
              <w:ind w:left="0" w:right="50" w:firstLine="0"/>
              <w:jc w:val="center"/>
            </w:pPr>
            <w:r>
              <w:rPr>
                <w:color w:val="FFFFFF"/>
              </w:rPr>
              <w:t xml:space="preserve">Autor (ano) </w:t>
            </w:r>
          </w:p>
        </w:tc>
        <w:tc>
          <w:tcPr>
            <w:tcW w:w="3034" w:type="dxa"/>
            <w:tcBorders>
              <w:top w:val="nil"/>
              <w:left w:val="nil"/>
              <w:bottom w:val="nil"/>
              <w:right w:val="nil"/>
            </w:tcBorders>
            <w:shd w:val="clear" w:color="auto" w:fill="000000"/>
          </w:tcPr>
          <w:p w:rsidR="0024131D" w:rsidRDefault="00F92A95">
            <w:pPr>
              <w:spacing w:after="0" w:line="259" w:lineRule="auto"/>
              <w:ind w:left="0" w:right="176" w:firstLine="0"/>
              <w:jc w:val="center"/>
            </w:pPr>
            <w:r>
              <w:rPr>
                <w:color w:val="FFFFFF"/>
              </w:rPr>
              <w:t xml:space="preserve">Local  </w:t>
            </w:r>
          </w:p>
        </w:tc>
        <w:tc>
          <w:tcPr>
            <w:tcW w:w="2895" w:type="dxa"/>
            <w:tcBorders>
              <w:top w:val="nil"/>
              <w:left w:val="nil"/>
              <w:bottom w:val="nil"/>
              <w:right w:val="nil"/>
            </w:tcBorders>
            <w:shd w:val="clear" w:color="auto" w:fill="000000"/>
          </w:tcPr>
          <w:p w:rsidR="0024131D" w:rsidRDefault="00F92A95">
            <w:pPr>
              <w:spacing w:after="0" w:line="259" w:lineRule="auto"/>
              <w:ind w:left="0" w:right="0" w:firstLine="0"/>
            </w:pPr>
            <w:r>
              <w:rPr>
                <w:color w:val="FFFFFF"/>
              </w:rPr>
              <w:t xml:space="preserve">Idade da população estudada </w:t>
            </w:r>
          </w:p>
        </w:tc>
      </w:tr>
      <w:tr w:rsidR="0024131D">
        <w:trPr>
          <w:trHeight w:val="724"/>
        </w:trPr>
        <w:tc>
          <w:tcPr>
            <w:tcW w:w="3133" w:type="dxa"/>
            <w:tcBorders>
              <w:top w:val="nil"/>
              <w:left w:val="single" w:sz="4" w:space="0" w:color="000000"/>
              <w:bottom w:val="single" w:sz="4" w:space="0" w:color="000000"/>
              <w:right w:val="nil"/>
            </w:tcBorders>
            <w:shd w:val="clear" w:color="auto" w:fill="D9D9D9"/>
            <w:vAlign w:val="bottom"/>
          </w:tcPr>
          <w:p w:rsidR="0024131D" w:rsidRDefault="00F92A95">
            <w:pPr>
              <w:spacing w:after="0" w:line="259" w:lineRule="auto"/>
              <w:ind w:left="70" w:right="0" w:firstLine="0"/>
              <w:jc w:val="left"/>
            </w:pPr>
            <w:r>
              <w:t>Hoffmann, K et al.</w:t>
            </w:r>
            <w:r>
              <w:rPr>
                <w:vertAlign w:val="superscript"/>
              </w:rPr>
              <w:t xml:space="preserve"> 12</w:t>
            </w:r>
            <w:r>
              <w:t xml:space="preserve">, (2015) </w:t>
            </w:r>
          </w:p>
        </w:tc>
        <w:tc>
          <w:tcPr>
            <w:tcW w:w="3034" w:type="dxa"/>
            <w:tcBorders>
              <w:top w:val="nil"/>
              <w:left w:val="nil"/>
              <w:bottom w:val="single" w:sz="4" w:space="0" w:color="000000"/>
              <w:right w:val="nil"/>
            </w:tcBorders>
            <w:shd w:val="clear" w:color="auto" w:fill="D9D9D9"/>
            <w:vAlign w:val="bottom"/>
          </w:tcPr>
          <w:p w:rsidR="0024131D" w:rsidRDefault="00F92A95">
            <w:pPr>
              <w:spacing w:after="0" w:line="259" w:lineRule="auto"/>
              <w:ind w:left="0" w:right="177" w:firstLine="0"/>
              <w:jc w:val="center"/>
            </w:pPr>
            <w:r>
              <w:t xml:space="preserve">Alemanha </w:t>
            </w:r>
          </w:p>
        </w:tc>
        <w:tc>
          <w:tcPr>
            <w:tcW w:w="2895" w:type="dxa"/>
            <w:tcBorders>
              <w:top w:val="nil"/>
              <w:left w:val="nil"/>
              <w:bottom w:val="single" w:sz="4" w:space="0" w:color="000000"/>
              <w:right w:val="single" w:sz="4" w:space="0" w:color="000000"/>
            </w:tcBorders>
            <w:shd w:val="clear" w:color="auto" w:fill="D9D9D9"/>
            <w:vAlign w:val="bottom"/>
          </w:tcPr>
          <w:p w:rsidR="0024131D" w:rsidRDefault="00F92A95">
            <w:pPr>
              <w:spacing w:after="0" w:line="259" w:lineRule="auto"/>
              <w:ind w:left="0" w:firstLine="0"/>
              <w:jc w:val="center"/>
            </w:pPr>
            <w:r>
              <w:t xml:space="preserve">43-69 anos </w:t>
            </w:r>
          </w:p>
        </w:tc>
      </w:tr>
      <w:tr w:rsidR="0024131D">
        <w:trPr>
          <w:trHeight w:val="1392"/>
        </w:trPr>
        <w:tc>
          <w:tcPr>
            <w:tcW w:w="3133" w:type="dxa"/>
            <w:tcBorders>
              <w:top w:val="single" w:sz="4" w:space="0" w:color="000000"/>
              <w:left w:val="single" w:sz="4" w:space="0" w:color="000000"/>
              <w:bottom w:val="single" w:sz="4" w:space="0" w:color="000000"/>
              <w:right w:val="nil"/>
            </w:tcBorders>
            <w:vAlign w:val="bottom"/>
          </w:tcPr>
          <w:p w:rsidR="0024131D" w:rsidRDefault="00F92A95">
            <w:pPr>
              <w:spacing w:after="0" w:line="259" w:lineRule="auto"/>
              <w:ind w:left="70" w:right="0" w:firstLine="0"/>
              <w:jc w:val="left"/>
            </w:pPr>
            <w:proofErr w:type="spellStart"/>
            <w:r>
              <w:t>Kudo</w:t>
            </w:r>
            <w:proofErr w:type="spellEnd"/>
            <w:r>
              <w:t>, M et al.</w:t>
            </w:r>
            <w:r>
              <w:rPr>
                <w:vertAlign w:val="superscript"/>
              </w:rPr>
              <w:t xml:space="preserve"> 16</w:t>
            </w:r>
            <w:r>
              <w:t xml:space="preserve">, (2014) </w:t>
            </w:r>
          </w:p>
        </w:tc>
        <w:tc>
          <w:tcPr>
            <w:tcW w:w="3034" w:type="dxa"/>
            <w:tcBorders>
              <w:top w:val="single" w:sz="4" w:space="0" w:color="000000"/>
              <w:left w:val="nil"/>
              <w:bottom w:val="single" w:sz="4" w:space="0" w:color="000000"/>
              <w:right w:val="nil"/>
            </w:tcBorders>
          </w:tcPr>
          <w:p w:rsidR="0024131D" w:rsidRDefault="00F92A95">
            <w:pPr>
              <w:spacing w:after="0" w:line="259" w:lineRule="auto"/>
              <w:ind w:left="24" w:right="0" w:firstLine="0"/>
              <w:jc w:val="left"/>
            </w:pPr>
            <w:r>
              <w:t xml:space="preserve">Multicêntrico (China, Japão, </w:t>
            </w:r>
          </w:p>
          <w:p w:rsidR="0024131D" w:rsidRDefault="00F92A95">
            <w:pPr>
              <w:spacing w:after="0" w:line="259" w:lineRule="auto"/>
              <w:ind w:left="240" w:right="0" w:firstLine="0"/>
              <w:jc w:val="left"/>
            </w:pPr>
            <w:r>
              <w:t xml:space="preserve">Coreia, França, Taiwan, </w:t>
            </w:r>
          </w:p>
          <w:p w:rsidR="0024131D" w:rsidRDefault="00F92A95">
            <w:pPr>
              <w:spacing w:after="0" w:line="259" w:lineRule="auto"/>
              <w:ind w:left="139" w:right="0" w:firstLine="0"/>
              <w:jc w:val="left"/>
            </w:pPr>
            <w:r>
              <w:t xml:space="preserve">EUA, Tailândia, Espanha, </w:t>
            </w:r>
          </w:p>
          <w:p w:rsidR="0024131D" w:rsidRDefault="00F92A95">
            <w:pPr>
              <w:spacing w:after="0" w:line="259" w:lineRule="auto"/>
              <w:ind w:left="636" w:right="0" w:hanging="372"/>
              <w:jc w:val="left"/>
            </w:pPr>
            <w:r>
              <w:t xml:space="preserve">Hong Kong, Argentina, Canadá e Itália) </w:t>
            </w:r>
          </w:p>
        </w:tc>
        <w:tc>
          <w:tcPr>
            <w:tcW w:w="2895" w:type="dxa"/>
            <w:tcBorders>
              <w:top w:val="single" w:sz="4" w:space="0" w:color="000000"/>
              <w:left w:val="nil"/>
              <w:bottom w:val="single" w:sz="4" w:space="0" w:color="000000"/>
              <w:right w:val="single" w:sz="4" w:space="0" w:color="000000"/>
            </w:tcBorders>
            <w:vAlign w:val="bottom"/>
          </w:tcPr>
          <w:p w:rsidR="0024131D" w:rsidRDefault="00F92A95">
            <w:pPr>
              <w:spacing w:after="0" w:line="259" w:lineRule="auto"/>
              <w:ind w:left="0" w:firstLine="0"/>
              <w:jc w:val="center"/>
            </w:pPr>
            <w:r>
              <w:t xml:space="preserve">21-85 anos </w:t>
            </w:r>
          </w:p>
        </w:tc>
      </w:tr>
      <w:tr w:rsidR="0024131D">
        <w:trPr>
          <w:trHeight w:val="458"/>
        </w:trPr>
        <w:tc>
          <w:tcPr>
            <w:tcW w:w="3133" w:type="dxa"/>
            <w:tcBorders>
              <w:top w:val="single" w:sz="4" w:space="0" w:color="000000"/>
              <w:left w:val="single" w:sz="4" w:space="0" w:color="000000"/>
              <w:bottom w:val="single" w:sz="4" w:space="0" w:color="000000"/>
              <w:right w:val="nil"/>
            </w:tcBorders>
            <w:shd w:val="clear" w:color="auto" w:fill="D9D9D9"/>
            <w:vAlign w:val="bottom"/>
          </w:tcPr>
          <w:p w:rsidR="0024131D" w:rsidRDefault="00F92A95">
            <w:pPr>
              <w:spacing w:after="0" w:line="259" w:lineRule="auto"/>
              <w:ind w:left="70" w:right="0" w:firstLine="0"/>
              <w:jc w:val="left"/>
            </w:pPr>
            <w:proofErr w:type="spellStart"/>
            <w:r>
              <w:t>Kudo</w:t>
            </w:r>
            <w:proofErr w:type="spellEnd"/>
            <w:r>
              <w:t>, M et al.</w:t>
            </w:r>
            <w:r>
              <w:rPr>
                <w:vertAlign w:val="superscript"/>
              </w:rPr>
              <w:t xml:space="preserve"> 17</w:t>
            </w:r>
            <w:r>
              <w:t xml:space="preserve">, (2022) </w:t>
            </w:r>
          </w:p>
        </w:tc>
        <w:tc>
          <w:tcPr>
            <w:tcW w:w="3034" w:type="dxa"/>
            <w:tcBorders>
              <w:top w:val="single" w:sz="4" w:space="0" w:color="000000"/>
              <w:left w:val="nil"/>
              <w:bottom w:val="single" w:sz="4" w:space="0" w:color="000000"/>
              <w:right w:val="nil"/>
            </w:tcBorders>
            <w:shd w:val="clear" w:color="auto" w:fill="D9D9D9"/>
            <w:vAlign w:val="bottom"/>
          </w:tcPr>
          <w:p w:rsidR="0024131D" w:rsidRDefault="00F92A95">
            <w:pPr>
              <w:spacing w:after="0" w:line="259" w:lineRule="auto"/>
              <w:ind w:left="0" w:right="176" w:firstLine="0"/>
              <w:jc w:val="center"/>
            </w:pPr>
            <w:r>
              <w:t xml:space="preserve">Japão </w:t>
            </w:r>
          </w:p>
        </w:tc>
        <w:tc>
          <w:tcPr>
            <w:tcW w:w="2895" w:type="dxa"/>
            <w:tcBorders>
              <w:top w:val="single" w:sz="4" w:space="0" w:color="000000"/>
              <w:left w:val="nil"/>
              <w:bottom w:val="single" w:sz="4" w:space="0" w:color="000000"/>
              <w:right w:val="single" w:sz="4" w:space="0" w:color="000000"/>
            </w:tcBorders>
            <w:shd w:val="clear" w:color="auto" w:fill="D9D9D9"/>
            <w:vAlign w:val="bottom"/>
          </w:tcPr>
          <w:p w:rsidR="0024131D" w:rsidRDefault="00F92A95">
            <w:pPr>
              <w:spacing w:after="0" w:line="259" w:lineRule="auto"/>
              <w:ind w:left="0" w:firstLine="0"/>
              <w:jc w:val="center"/>
            </w:pPr>
            <w:r>
              <w:t xml:space="preserve">36-86 anos </w:t>
            </w:r>
          </w:p>
        </w:tc>
      </w:tr>
      <w:tr w:rsidR="0024131D">
        <w:trPr>
          <w:trHeight w:val="1392"/>
        </w:trPr>
        <w:tc>
          <w:tcPr>
            <w:tcW w:w="3133" w:type="dxa"/>
            <w:tcBorders>
              <w:top w:val="single" w:sz="4" w:space="0" w:color="000000"/>
              <w:left w:val="single" w:sz="4" w:space="0" w:color="000000"/>
              <w:bottom w:val="single" w:sz="4" w:space="0" w:color="000000"/>
              <w:right w:val="nil"/>
            </w:tcBorders>
            <w:vAlign w:val="bottom"/>
          </w:tcPr>
          <w:p w:rsidR="0024131D" w:rsidRDefault="00F92A95">
            <w:pPr>
              <w:spacing w:after="0" w:line="259" w:lineRule="auto"/>
              <w:ind w:left="70" w:right="0" w:firstLine="0"/>
              <w:jc w:val="left"/>
            </w:pPr>
            <w:proofErr w:type="spellStart"/>
            <w:r>
              <w:t>Lencioni</w:t>
            </w:r>
            <w:proofErr w:type="spellEnd"/>
            <w:r>
              <w:t>, R et al.</w:t>
            </w:r>
            <w:r>
              <w:rPr>
                <w:vertAlign w:val="superscript"/>
              </w:rPr>
              <w:t xml:space="preserve"> 13</w:t>
            </w:r>
            <w:r>
              <w:t xml:space="preserve">, (2016) </w:t>
            </w:r>
          </w:p>
        </w:tc>
        <w:tc>
          <w:tcPr>
            <w:tcW w:w="3034" w:type="dxa"/>
            <w:tcBorders>
              <w:top w:val="single" w:sz="4" w:space="0" w:color="000000"/>
              <w:left w:val="nil"/>
              <w:bottom w:val="single" w:sz="4" w:space="0" w:color="000000"/>
              <w:right w:val="nil"/>
            </w:tcBorders>
          </w:tcPr>
          <w:p w:rsidR="0024131D" w:rsidRDefault="00F92A95">
            <w:pPr>
              <w:spacing w:after="0" w:line="238" w:lineRule="auto"/>
              <w:ind w:left="288" w:right="0" w:hanging="288"/>
              <w:jc w:val="left"/>
            </w:pPr>
            <w:r>
              <w:t xml:space="preserve">EUA, Espanha, Itália, China, Coreia do Sul, Taiwan, </w:t>
            </w:r>
          </w:p>
          <w:p w:rsidR="0024131D" w:rsidRDefault="00F92A95">
            <w:pPr>
              <w:spacing w:after="0" w:line="259" w:lineRule="auto"/>
              <w:ind w:left="14" w:right="0" w:firstLine="0"/>
              <w:jc w:val="left"/>
            </w:pPr>
            <w:r>
              <w:t xml:space="preserve">França, Inglaterra, Austrália, </w:t>
            </w:r>
          </w:p>
          <w:p w:rsidR="0024131D" w:rsidRDefault="00F92A95">
            <w:pPr>
              <w:spacing w:after="0" w:line="259" w:lineRule="auto"/>
              <w:ind w:left="1044" w:right="0" w:hanging="1010"/>
              <w:jc w:val="left"/>
            </w:pPr>
            <w:r>
              <w:t xml:space="preserve">Bélgica, Canadá, Singapura, Áustria </w:t>
            </w:r>
          </w:p>
        </w:tc>
        <w:tc>
          <w:tcPr>
            <w:tcW w:w="2895" w:type="dxa"/>
            <w:tcBorders>
              <w:top w:val="single" w:sz="4" w:space="0" w:color="000000"/>
              <w:left w:val="nil"/>
              <w:bottom w:val="single" w:sz="4" w:space="0" w:color="000000"/>
              <w:right w:val="single" w:sz="4" w:space="0" w:color="000000"/>
            </w:tcBorders>
            <w:vAlign w:val="bottom"/>
          </w:tcPr>
          <w:p w:rsidR="0024131D" w:rsidRDefault="00F92A95">
            <w:pPr>
              <w:spacing w:after="0" w:line="259" w:lineRule="auto"/>
              <w:ind w:left="0" w:right="63" w:firstLine="0"/>
              <w:jc w:val="center"/>
            </w:pPr>
            <w:r>
              <w:t xml:space="preserve">63-64.5 anos </w:t>
            </w:r>
          </w:p>
        </w:tc>
      </w:tr>
      <w:tr w:rsidR="0024131D">
        <w:trPr>
          <w:trHeight w:val="953"/>
        </w:trPr>
        <w:tc>
          <w:tcPr>
            <w:tcW w:w="3133" w:type="dxa"/>
            <w:tcBorders>
              <w:top w:val="single" w:sz="4" w:space="0" w:color="000000"/>
              <w:left w:val="single" w:sz="4" w:space="0" w:color="000000"/>
              <w:bottom w:val="single" w:sz="4" w:space="0" w:color="000000"/>
              <w:right w:val="nil"/>
            </w:tcBorders>
            <w:shd w:val="clear" w:color="auto" w:fill="D9D9D9"/>
            <w:vAlign w:val="bottom"/>
          </w:tcPr>
          <w:p w:rsidR="0024131D" w:rsidRDefault="00F92A95">
            <w:pPr>
              <w:spacing w:after="0" w:line="259" w:lineRule="auto"/>
              <w:ind w:left="70" w:right="0" w:firstLine="0"/>
              <w:jc w:val="left"/>
            </w:pPr>
            <w:r>
              <w:t>Meyer, T et al.</w:t>
            </w:r>
            <w:r>
              <w:rPr>
                <w:vertAlign w:val="superscript"/>
              </w:rPr>
              <w:t xml:space="preserve"> 14</w:t>
            </w:r>
            <w:r>
              <w:t xml:space="preserve">, (2017) </w:t>
            </w:r>
          </w:p>
        </w:tc>
        <w:tc>
          <w:tcPr>
            <w:tcW w:w="3034" w:type="dxa"/>
            <w:tcBorders>
              <w:top w:val="single" w:sz="4" w:space="0" w:color="000000"/>
              <w:left w:val="nil"/>
              <w:bottom w:val="single" w:sz="4" w:space="0" w:color="000000"/>
              <w:right w:val="nil"/>
            </w:tcBorders>
            <w:shd w:val="clear" w:color="auto" w:fill="D9D9D9"/>
            <w:vAlign w:val="bottom"/>
          </w:tcPr>
          <w:p w:rsidR="0024131D" w:rsidRDefault="00F92A95">
            <w:pPr>
              <w:spacing w:after="0" w:line="259" w:lineRule="auto"/>
              <w:ind w:left="0" w:right="178" w:firstLine="0"/>
              <w:jc w:val="center"/>
            </w:pPr>
            <w:r>
              <w:t xml:space="preserve">Inglaterra </w:t>
            </w:r>
          </w:p>
        </w:tc>
        <w:tc>
          <w:tcPr>
            <w:tcW w:w="2895" w:type="dxa"/>
            <w:tcBorders>
              <w:top w:val="single" w:sz="4" w:space="0" w:color="000000"/>
              <w:left w:val="nil"/>
              <w:bottom w:val="single" w:sz="4" w:space="0" w:color="000000"/>
              <w:right w:val="single" w:sz="4" w:space="0" w:color="000000"/>
            </w:tcBorders>
            <w:shd w:val="clear" w:color="auto" w:fill="D9D9D9"/>
            <w:vAlign w:val="bottom"/>
          </w:tcPr>
          <w:p w:rsidR="0024131D" w:rsidRDefault="00F92A95">
            <w:pPr>
              <w:spacing w:after="0" w:line="259" w:lineRule="auto"/>
              <w:ind w:left="0" w:firstLine="0"/>
              <w:jc w:val="center"/>
            </w:pPr>
            <w:r>
              <w:t xml:space="preserve">57-74 anos </w:t>
            </w:r>
          </w:p>
        </w:tc>
      </w:tr>
      <w:tr w:rsidR="0024131D">
        <w:trPr>
          <w:trHeight w:val="898"/>
        </w:trPr>
        <w:tc>
          <w:tcPr>
            <w:tcW w:w="3133" w:type="dxa"/>
            <w:tcBorders>
              <w:top w:val="single" w:sz="4" w:space="0" w:color="000000"/>
              <w:left w:val="single" w:sz="4" w:space="0" w:color="000000"/>
              <w:bottom w:val="single" w:sz="4" w:space="0" w:color="000000"/>
              <w:right w:val="nil"/>
            </w:tcBorders>
            <w:vAlign w:val="bottom"/>
          </w:tcPr>
          <w:p w:rsidR="0024131D" w:rsidRDefault="00F92A95">
            <w:pPr>
              <w:spacing w:after="0" w:line="259" w:lineRule="auto"/>
              <w:ind w:left="70" w:right="0" w:firstLine="0"/>
              <w:jc w:val="left"/>
            </w:pPr>
            <w:r>
              <w:t>Pinter, M et al.</w:t>
            </w:r>
            <w:r>
              <w:rPr>
                <w:vertAlign w:val="superscript"/>
              </w:rPr>
              <w:t xml:space="preserve"> </w:t>
            </w:r>
            <w:proofErr w:type="gramStart"/>
            <w:r>
              <w:rPr>
                <w:vertAlign w:val="superscript"/>
              </w:rPr>
              <w:t>15</w:t>
            </w:r>
            <w:r>
              <w:t xml:space="preserve"> ,</w:t>
            </w:r>
            <w:proofErr w:type="gramEnd"/>
            <w:r>
              <w:t xml:space="preserve"> (2015) </w:t>
            </w:r>
          </w:p>
        </w:tc>
        <w:tc>
          <w:tcPr>
            <w:tcW w:w="3034" w:type="dxa"/>
            <w:tcBorders>
              <w:top w:val="single" w:sz="4" w:space="0" w:color="000000"/>
              <w:left w:val="nil"/>
              <w:bottom w:val="single" w:sz="4" w:space="0" w:color="000000"/>
              <w:right w:val="nil"/>
            </w:tcBorders>
            <w:vAlign w:val="bottom"/>
          </w:tcPr>
          <w:p w:rsidR="0024131D" w:rsidRDefault="00F92A95">
            <w:pPr>
              <w:spacing w:after="0" w:line="259" w:lineRule="auto"/>
              <w:ind w:left="0" w:right="173" w:firstLine="0"/>
              <w:jc w:val="center"/>
            </w:pPr>
            <w:r>
              <w:t xml:space="preserve">Áustria </w:t>
            </w:r>
          </w:p>
        </w:tc>
        <w:tc>
          <w:tcPr>
            <w:tcW w:w="2895" w:type="dxa"/>
            <w:tcBorders>
              <w:top w:val="single" w:sz="4" w:space="0" w:color="000000"/>
              <w:left w:val="nil"/>
              <w:bottom w:val="single" w:sz="4" w:space="0" w:color="000000"/>
              <w:right w:val="single" w:sz="4" w:space="0" w:color="000000"/>
            </w:tcBorders>
            <w:vAlign w:val="bottom"/>
          </w:tcPr>
          <w:p w:rsidR="0024131D" w:rsidRDefault="00F92A95">
            <w:pPr>
              <w:spacing w:after="0" w:line="259" w:lineRule="auto"/>
              <w:ind w:left="0" w:firstLine="0"/>
              <w:jc w:val="center"/>
            </w:pPr>
            <w:r>
              <w:t xml:space="preserve">46-78 anos </w:t>
            </w:r>
          </w:p>
        </w:tc>
      </w:tr>
      <w:tr w:rsidR="0024131D">
        <w:trPr>
          <w:trHeight w:val="773"/>
        </w:trPr>
        <w:tc>
          <w:tcPr>
            <w:tcW w:w="3133" w:type="dxa"/>
            <w:tcBorders>
              <w:top w:val="single" w:sz="4" w:space="0" w:color="000000"/>
              <w:left w:val="single" w:sz="4" w:space="0" w:color="000000"/>
              <w:bottom w:val="single" w:sz="4" w:space="0" w:color="000000"/>
              <w:right w:val="nil"/>
            </w:tcBorders>
            <w:shd w:val="clear" w:color="auto" w:fill="D9D9D9"/>
            <w:vAlign w:val="bottom"/>
          </w:tcPr>
          <w:p w:rsidR="0024131D" w:rsidRDefault="00F92A95">
            <w:pPr>
              <w:spacing w:after="0" w:line="259" w:lineRule="auto"/>
              <w:ind w:left="70" w:right="0" w:firstLine="0"/>
              <w:jc w:val="left"/>
            </w:pPr>
            <w:proofErr w:type="spellStart"/>
            <w:r>
              <w:t>Sansonno</w:t>
            </w:r>
            <w:proofErr w:type="spellEnd"/>
            <w:r>
              <w:t>, D et al.</w:t>
            </w:r>
            <w:r>
              <w:rPr>
                <w:vertAlign w:val="superscript"/>
              </w:rPr>
              <w:t xml:space="preserve"> 18</w:t>
            </w:r>
            <w:r>
              <w:t xml:space="preserve">, (2012) </w:t>
            </w:r>
          </w:p>
        </w:tc>
        <w:tc>
          <w:tcPr>
            <w:tcW w:w="3034" w:type="dxa"/>
            <w:tcBorders>
              <w:top w:val="single" w:sz="4" w:space="0" w:color="000000"/>
              <w:left w:val="nil"/>
              <w:bottom w:val="single" w:sz="4" w:space="0" w:color="000000"/>
              <w:right w:val="nil"/>
            </w:tcBorders>
            <w:shd w:val="clear" w:color="auto" w:fill="D9D9D9"/>
            <w:vAlign w:val="bottom"/>
          </w:tcPr>
          <w:p w:rsidR="0024131D" w:rsidRDefault="00F92A95">
            <w:pPr>
              <w:spacing w:after="0" w:line="259" w:lineRule="auto"/>
              <w:ind w:left="0" w:right="178" w:firstLine="0"/>
              <w:jc w:val="center"/>
            </w:pPr>
            <w:r>
              <w:t xml:space="preserve">Itália </w:t>
            </w:r>
          </w:p>
        </w:tc>
        <w:tc>
          <w:tcPr>
            <w:tcW w:w="2895" w:type="dxa"/>
            <w:tcBorders>
              <w:top w:val="single" w:sz="4" w:space="0" w:color="000000"/>
              <w:left w:val="nil"/>
              <w:bottom w:val="single" w:sz="4" w:space="0" w:color="000000"/>
              <w:right w:val="single" w:sz="4" w:space="0" w:color="000000"/>
            </w:tcBorders>
            <w:shd w:val="clear" w:color="auto" w:fill="D9D9D9"/>
            <w:vAlign w:val="bottom"/>
          </w:tcPr>
          <w:p w:rsidR="0024131D" w:rsidRDefault="00F92A95">
            <w:pPr>
              <w:spacing w:after="0" w:line="259" w:lineRule="auto"/>
              <w:ind w:left="0" w:firstLine="0"/>
              <w:jc w:val="center"/>
            </w:pPr>
            <w:r>
              <w:t xml:space="preserve">66,4-79,2 anos </w:t>
            </w:r>
          </w:p>
        </w:tc>
      </w:tr>
    </w:tbl>
    <w:p w:rsidR="0024131D" w:rsidRDefault="00F92A95">
      <w:pPr>
        <w:spacing w:after="274" w:line="259" w:lineRule="auto"/>
        <w:ind w:left="0" w:right="0" w:firstLine="0"/>
        <w:jc w:val="left"/>
      </w:pPr>
      <w:r>
        <w:t xml:space="preserve"> </w:t>
      </w:r>
    </w:p>
    <w:p w:rsidR="0024131D" w:rsidRDefault="00F92A95">
      <w:pPr>
        <w:spacing w:after="158" w:line="357" w:lineRule="auto"/>
        <w:ind w:left="-15" w:right="331" w:firstLine="0"/>
        <w:jc w:val="left"/>
      </w:pPr>
      <w:r>
        <w:t>Os critérios de inclusão e exclusão dos ECR variam bastante também, de acordo com o tipo de tratamento sistêmico utilizado nos pacientes, com a função hepática preservada predominando em todos os critérios de inclusão. Ademais, o tamanho da amostra variou,</w:t>
      </w:r>
      <w:r>
        <w:t xml:space="preserve"> em que a menor foi 40 </w:t>
      </w:r>
      <w:r>
        <w:lastRenderedPageBreak/>
        <w:t xml:space="preserve">pacientes, e a maior, 502 pacientes. A duração dos estudos obteve uma média de 5 anos, na qual a menor duração foi de 3 e a maior, 9 anos (Quadro 4).   </w:t>
      </w:r>
    </w:p>
    <w:p w:rsidR="0024131D" w:rsidRDefault="0024131D">
      <w:pPr>
        <w:sectPr w:rsidR="0024131D">
          <w:pgSz w:w="11906" w:h="16838"/>
          <w:pgMar w:top="717" w:right="1071" w:bottom="1177" w:left="1133" w:header="720" w:footer="720" w:gutter="0"/>
          <w:cols w:space="720"/>
        </w:sectPr>
      </w:pPr>
    </w:p>
    <w:p w:rsidR="0024131D" w:rsidRDefault="00F92A95">
      <w:pPr>
        <w:spacing w:after="17" w:line="259" w:lineRule="auto"/>
        <w:ind w:left="10" w:right="44"/>
        <w:jc w:val="right"/>
      </w:pPr>
      <w:r>
        <w:rPr>
          <w:sz w:val="20"/>
        </w:rPr>
        <w:lastRenderedPageBreak/>
        <w:t xml:space="preserve">20 </w:t>
      </w:r>
    </w:p>
    <w:p w:rsidR="0024131D" w:rsidRDefault="00F92A95">
      <w:pPr>
        <w:spacing w:after="0" w:line="259" w:lineRule="auto"/>
        <w:ind w:left="0" w:right="0" w:firstLine="0"/>
        <w:jc w:val="left"/>
      </w:pPr>
      <w:r>
        <w:t xml:space="preserve"> </w:t>
      </w:r>
    </w:p>
    <w:p w:rsidR="0024131D" w:rsidRDefault="00F92A95">
      <w:pPr>
        <w:spacing w:after="63" w:line="259" w:lineRule="auto"/>
        <w:ind w:left="-5" w:right="48"/>
      </w:pPr>
      <w:r>
        <w:t xml:space="preserve">Quadro 4: Características das populações dos estudos </w:t>
      </w:r>
    </w:p>
    <w:tbl>
      <w:tblPr>
        <w:tblStyle w:val="TableGrid"/>
        <w:tblW w:w="13322" w:type="dxa"/>
        <w:tblInd w:w="5" w:type="dxa"/>
        <w:tblCellMar>
          <w:top w:w="11" w:type="dxa"/>
          <w:left w:w="0" w:type="dxa"/>
          <w:bottom w:w="3" w:type="dxa"/>
          <w:right w:w="0" w:type="dxa"/>
        </w:tblCellMar>
        <w:tblLook w:val="04A0" w:firstRow="1" w:lastRow="0" w:firstColumn="1" w:lastColumn="0" w:noHBand="0" w:noVBand="1"/>
      </w:tblPr>
      <w:tblGrid>
        <w:gridCol w:w="1187"/>
        <w:gridCol w:w="5558"/>
        <w:gridCol w:w="4167"/>
        <w:gridCol w:w="1133"/>
        <w:gridCol w:w="1277"/>
      </w:tblGrid>
      <w:tr w:rsidR="0024131D">
        <w:trPr>
          <w:trHeight w:val="847"/>
        </w:trPr>
        <w:tc>
          <w:tcPr>
            <w:tcW w:w="1187" w:type="dxa"/>
            <w:tcBorders>
              <w:top w:val="single" w:sz="8" w:space="0" w:color="000000"/>
              <w:left w:val="nil"/>
              <w:bottom w:val="single" w:sz="4" w:space="0" w:color="D9D9D9"/>
              <w:right w:val="nil"/>
            </w:tcBorders>
            <w:shd w:val="clear" w:color="auto" w:fill="000000"/>
            <w:vAlign w:val="bottom"/>
          </w:tcPr>
          <w:p w:rsidR="0024131D" w:rsidRDefault="00F92A95">
            <w:pPr>
              <w:spacing w:after="0" w:line="259" w:lineRule="auto"/>
              <w:ind w:left="60" w:right="3" w:firstLine="0"/>
              <w:jc w:val="center"/>
            </w:pPr>
            <w:r>
              <w:rPr>
                <w:color w:val="FFFFFF"/>
              </w:rPr>
              <w:t xml:space="preserve">Autor (ano) </w:t>
            </w:r>
          </w:p>
        </w:tc>
        <w:tc>
          <w:tcPr>
            <w:tcW w:w="12135" w:type="dxa"/>
            <w:gridSpan w:val="4"/>
            <w:tcBorders>
              <w:top w:val="nil"/>
              <w:left w:val="nil"/>
              <w:bottom w:val="nil"/>
              <w:right w:val="nil"/>
            </w:tcBorders>
            <w:shd w:val="clear" w:color="auto" w:fill="000000"/>
          </w:tcPr>
          <w:p w:rsidR="0024131D" w:rsidRDefault="00F92A95">
            <w:pPr>
              <w:spacing w:after="0" w:line="259" w:lineRule="auto"/>
              <w:ind w:left="0" w:right="84" w:firstLine="0"/>
              <w:jc w:val="right"/>
            </w:pPr>
            <w:r>
              <w:rPr>
                <w:color w:val="FFFFFF"/>
              </w:rPr>
              <w:t xml:space="preserve">Tamanho Duração do </w:t>
            </w:r>
          </w:p>
          <w:p w:rsidR="0024131D" w:rsidRDefault="00F92A95">
            <w:pPr>
              <w:tabs>
                <w:tab w:val="center" w:pos="10292"/>
                <w:tab w:val="center" w:pos="11495"/>
              </w:tabs>
              <w:spacing w:after="0" w:line="259" w:lineRule="auto"/>
              <w:ind w:left="0" w:right="0" w:firstLine="0"/>
              <w:jc w:val="left"/>
            </w:pPr>
            <w:r>
              <w:rPr>
                <w:rFonts w:ascii="Calibri" w:eastAsia="Calibri" w:hAnsi="Calibri" w:cs="Calibri"/>
                <w:sz w:val="22"/>
              </w:rPr>
              <w:tab/>
            </w:r>
            <w:proofErr w:type="spellStart"/>
            <w:proofErr w:type="gramStart"/>
            <w:r>
              <w:rPr>
                <w:color w:val="FFFFFF"/>
              </w:rPr>
              <w:t>da</w:t>
            </w:r>
            <w:proofErr w:type="spellEnd"/>
            <w:r>
              <w:rPr>
                <w:color w:val="FFFFFF"/>
              </w:rPr>
              <w:t xml:space="preserve">        </w:t>
            </w:r>
            <w:r>
              <w:rPr>
                <w:color w:val="FFFFFF"/>
              </w:rPr>
              <w:tab/>
              <w:t>estudo</w:t>
            </w:r>
            <w:proofErr w:type="gramEnd"/>
            <w:r>
              <w:rPr>
                <w:color w:val="FFFFFF"/>
              </w:rPr>
              <w:t xml:space="preserve">      </w:t>
            </w:r>
          </w:p>
          <w:p w:rsidR="0024131D" w:rsidRDefault="00F92A95">
            <w:pPr>
              <w:tabs>
                <w:tab w:val="center" w:pos="2779"/>
                <w:tab w:val="center" w:pos="7640"/>
                <w:tab w:val="center" w:pos="10290"/>
                <w:tab w:val="center" w:pos="11493"/>
              </w:tabs>
              <w:spacing w:after="0" w:line="259" w:lineRule="auto"/>
              <w:ind w:left="0" w:right="0" w:firstLine="0"/>
              <w:jc w:val="left"/>
            </w:pPr>
            <w:r>
              <w:rPr>
                <w:rFonts w:ascii="Calibri" w:eastAsia="Calibri" w:hAnsi="Calibri" w:cs="Calibri"/>
                <w:sz w:val="22"/>
              </w:rPr>
              <w:tab/>
            </w:r>
            <w:r>
              <w:rPr>
                <w:color w:val="FFFFFF"/>
              </w:rPr>
              <w:t xml:space="preserve">Critérios de </w:t>
            </w:r>
            <w:proofErr w:type="gramStart"/>
            <w:r>
              <w:rPr>
                <w:color w:val="FFFFFF"/>
              </w:rPr>
              <w:t xml:space="preserve">inclusão  </w:t>
            </w:r>
            <w:r>
              <w:rPr>
                <w:color w:val="FFFFFF"/>
              </w:rPr>
              <w:tab/>
            </w:r>
            <w:proofErr w:type="gramEnd"/>
            <w:r>
              <w:rPr>
                <w:color w:val="FFFFFF"/>
              </w:rPr>
              <w:t xml:space="preserve">Critérios de exclusão </w:t>
            </w:r>
            <w:r>
              <w:rPr>
                <w:color w:val="FFFFFF"/>
              </w:rPr>
              <w:tab/>
              <w:t xml:space="preserve">amostra </w:t>
            </w:r>
            <w:r>
              <w:rPr>
                <w:color w:val="FFFFFF"/>
              </w:rPr>
              <w:tab/>
              <w:t xml:space="preserve">(anos) </w:t>
            </w:r>
          </w:p>
        </w:tc>
      </w:tr>
      <w:tr w:rsidR="0024131D">
        <w:trPr>
          <w:trHeight w:val="988"/>
        </w:trPr>
        <w:tc>
          <w:tcPr>
            <w:tcW w:w="1187" w:type="dxa"/>
            <w:tcBorders>
              <w:top w:val="single" w:sz="4" w:space="0" w:color="D9D9D9"/>
              <w:left w:val="single" w:sz="4" w:space="0" w:color="000000"/>
              <w:bottom w:val="single" w:sz="4" w:space="0" w:color="000000"/>
              <w:right w:val="single" w:sz="4" w:space="0" w:color="000000"/>
            </w:tcBorders>
            <w:shd w:val="clear" w:color="auto" w:fill="D9D9D9"/>
            <w:vAlign w:val="bottom"/>
          </w:tcPr>
          <w:p w:rsidR="0024131D" w:rsidRDefault="00F92A95">
            <w:pPr>
              <w:spacing w:after="0" w:line="259" w:lineRule="auto"/>
              <w:ind w:left="70" w:right="0" w:firstLine="0"/>
            </w:pPr>
            <w:r>
              <w:t xml:space="preserve">Hoffmann, </w:t>
            </w:r>
          </w:p>
          <w:p w:rsidR="0024131D" w:rsidRDefault="00F92A95">
            <w:pPr>
              <w:spacing w:after="17" w:line="259" w:lineRule="auto"/>
              <w:ind w:left="132" w:right="0" w:firstLine="0"/>
              <w:jc w:val="left"/>
            </w:pPr>
            <w:r>
              <w:t>K et al.</w:t>
            </w:r>
            <w:r>
              <w:rPr>
                <w:vertAlign w:val="superscript"/>
              </w:rPr>
              <w:t>12</w:t>
            </w:r>
            <w:r>
              <w:t xml:space="preserve">, </w:t>
            </w:r>
          </w:p>
          <w:p w:rsidR="0024131D" w:rsidRDefault="00F92A95">
            <w:pPr>
              <w:spacing w:after="0" w:line="259" w:lineRule="auto"/>
              <w:ind w:left="0" w:right="5" w:firstLine="0"/>
              <w:jc w:val="center"/>
            </w:pPr>
            <w:r>
              <w:t xml:space="preserve">(2015) </w:t>
            </w:r>
          </w:p>
        </w:tc>
        <w:tc>
          <w:tcPr>
            <w:tcW w:w="5558" w:type="dxa"/>
            <w:tcBorders>
              <w:top w:val="nil"/>
              <w:left w:val="single" w:sz="4" w:space="0" w:color="000000"/>
              <w:bottom w:val="single" w:sz="4" w:space="0" w:color="000000"/>
              <w:right w:val="single" w:sz="4" w:space="0" w:color="000000"/>
            </w:tcBorders>
            <w:shd w:val="clear" w:color="auto" w:fill="D9D9D9"/>
            <w:vAlign w:val="bottom"/>
          </w:tcPr>
          <w:p w:rsidR="0024131D" w:rsidRDefault="00F92A95">
            <w:pPr>
              <w:spacing w:after="0" w:line="259" w:lineRule="auto"/>
              <w:ind w:left="71" w:right="67" w:firstLine="0"/>
            </w:pPr>
            <w:r>
              <w:rPr>
                <w:sz w:val="18"/>
              </w:rPr>
              <w:t xml:space="preserve">Pacientes &gt; 18 anos, com CHC dentro dos critérios de Milão, classificados pelo </w:t>
            </w:r>
            <w:proofErr w:type="spellStart"/>
            <w:r>
              <w:rPr>
                <w:sz w:val="18"/>
              </w:rPr>
              <w:t>mRECIST</w:t>
            </w:r>
            <w:proofErr w:type="spellEnd"/>
            <w:r>
              <w:rPr>
                <w:sz w:val="18"/>
              </w:rPr>
              <w:t xml:space="preserve"> </w:t>
            </w:r>
            <w:r>
              <w:rPr>
                <w:sz w:val="18"/>
              </w:rPr>
              <w:t xml:space="preserve">como sem invasão vascular (IV) ou metástases </w:t>
            </w:r>
            <w:proofErr w:type="spellStart"/>
            <w:r>
              <w:rPr>
                <w:sz w:val="18"/>
              </w:rPr>
              <w:t>extrahepáticas</w:t>
            </w:r>
            <w:proofErr w:type="spellEnd"/>
            <w:r>
              <w:rPr>
                <w:sz w:val="18"/>
              </w:rPr>
              <w:t xml:space="preserve"> (ME), índice de </w:t>
            </w:r>
            <w:proofErr w:type="spellStart"/>
            <w:r>
              <w:rPr>
                <w:sz w:val="18"/>
              </w:rPr>
              <w:t>Karnofsky</w:t>
            </w:r>
            <w:proofErr w:type="spellEnd"/>
            <w:r>
              <w:rPr>
                <w:sz w:val="18"/>
              </w:rPr>
              <w:t xml:space="preserve">&gt; 80%, função hepática (FH), renal e hematológica adequadas e teste negativo de gravidez </w:t>
            </w:r>
          </w:p>
        </w:tc>
        <w:tc>
          <w:tcPr>
            <w:tcW w:w="4168" w:type="dxa"/>
            <w:tcBorders>
              <w:top w:val="nil"/>
              <w:left w:val="single" w:sz="4" w:space="0" w:color="000000"/>
              <w:bottom w:val="single" w:sz="4" w:space="0" w:color="000000"/>
              <w:right w:val="single" w:sz="4" w:space="0" w:color="000000"/>
            </w:tcBorders>
            <w:shd w:val="clear" w:color="auto" w:fill="D9D9D9"/>
            <w:vAlign w:val="bottom"/>
          </w:tcPr>
          <w:p w:rsidR="0024131D" w:rsidRDefault="00F92A95">
            <w:pPr>
              <w:spacing w:after="0" w:line="259" w:lineRule="auto"/>
              <w:ind w:left="70" w:right="70" w:firstLine="0"/>
            </w:pPr>
            <w:r>
              <w:rPr>
                <w:sz w:val="18"/>
              </w:rPr>
              <w:t xml:space="preserve">Terapia sistêmica, anticâncer ou local prévia, eventos trombóticos ou embólicos, </w:t>
            </w:r>
            <w:r>
              <w:rPr>
                <w:sz w:val="18"/>
              </w:rPr>
              <w:t xml:space="preserve">evento hemorrágico grau III dentro de 4 semanas alguma doença cardiovascular e pacientes HIV positivo ou com infecção descontrolada  </w:t>
            </w:r>
          </w:p>
        </w:tc>
        <w:tc>
          <w:tcPr>
            <w:tcW w:w="1133" w:type="dxa"/>
            <w:tcBorders>
              <w:top w:val="nil"/>
              <w:left w:val="single" w:sz="4" w:space="0" w:color="000000"/>
              <w:bottom w:val="single" w:sz="4" w:space="0" w:color="000000"/>
              <w:right w:val="single" w:sz="4" w:space="0" w:color="000000"/>
            </w:tcBorders>
            <w:shd w:val="clear" w:color="auto" w:fill="D9D9D9"/>
            <w:vAlign w:val="bottom"/>
          </w:tcPr>
          <w:p w:rsidR="0024131D" w:rsidRDefault="00F92A95">
            <w:pPr>
              <w:spacing w:after="0" w:line="259" w:lineRule="auto"/>
              <w:ind w:left="70" w:right="0" w:firstLine="0"/>
              <w:jc w:val="left"/>
            </w:pPr>
            <w:r>
              <w:rPr>
                <w:sz w:val="18"/>
              </w:rPr>
              <w:t xml:space="preserve">50 pacientes </w:t>
            </w:r>
          </w:p>
        </w:tc>
        <w:tc>
          <w:tcPr>
            <w:tcW w:w="1277" w:type="dxa"/>
            <w:tcBorders>
              <w:top w:val="nil"/>
              <w:left w:val="single" w:sz="4" w:space="0" w:color="000000"/>
              <w:bottom w:val="single" w:sz="4" w:space="0" w:color="000000"/>
              <w:right w:val="single" w:sz="4" w:space="0" w:color="000000"/>
            </w:tcBorders>
            <w:shd w:val="clear" w:color="auto" w:fill="D9D9D9"/>
            <w:vAlign w:val="bottom"/>
          </w:tcPr>
          <w:p w:rsidR="0024131D" w:rsidRDefault="00F92A95">
            <w:pPr>
              <w:spacing w:after="0" w:line="259" w:lineRule="auto"/>
              <w:ind w:left="70" w:right="0" w:firstLine="0"/>
              <w:jc w:val="left"/>
            </w:pPr>
            <w:r>
              <w:rPr>
                <w:sz w:val="18"/>
              </w:rPr>
              <w:t xml:space="preserve">2008- 2013 (05 anos) </w:t>
            </w:r>
          </w:p>
        </w:tc>
      </w:tr>
      <w:tr w:rsidR="0024131D">
        <w:trPr>
          <w:trHeight w:val="842"/>
        </w:trPr>
        <w:tc>
          <w:tcPr>
            <w:tcW w:w="1187"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158" w:right="0" w:firstLine="0"/>
              <w:jc w:val="left"/>
            </w:pPr>
            <w:proofErr w:type="spellStart"/>
            <w:r>
              <w:t>Kudo</w:t>
            </w:r>
            <w:proofErr w:type="spellEnd"/>
            <w:r>
              <w:t xml:space="preserve">, M </w:t>
            </w:r>
          </w:p>
          <w:p w:rsidR="0024131D" w:rsidRDefault="00F92A95">
            <w:pPr>
              <w:spacing w:after="29" w:line="259" w:lineRule="auto"/>
              <w:ind w:left="0" w:right="229" w:firstLine="0"/>
              <w:jc w:val="right"/>
            </w:pPr>
            <w:r>
              <w:t>et al.</w:t>
            </w:r>
            <w:r>
              <w:rPr>
                <w:vertAlign w:val="superscript"/>
              </w:rPr>
              <w:t xml:space="preserve"> 16</w:t>
            </w:r>
            <w:r>
              <w:t xml:space="preserve">,    </w:t>
            </w:r>
          </w:p>
          <w:p w:rsidR="0024131D" w:rsidRDefault="00F92A95">
            <w:pPr>
              <w:spacing w:after="0" w:line="259" w:lineRule="auto"/>
              <w:ind w:left="0" w:right="5" w:firstLine="0"/>
              <w:jc w:val="center"/>
            </w:pPr>
            <w:r>
              <w:t xml:space="preserve">(2014) </w:t>
            </w:r>
          </w:p>
        </w:tc>
        <w:tc>
          <w:tcPr>
            <w:tcW w:w="5558"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71" w:right="69" w:firstLine="0"/>
            </w:pPr>
            <w:r>
              <w:rPr>
                <w:sz w:val="18"/>
              </w:rPr>
              <w:t xml:space="preserve">Homens e mulheres&gt; 18 anos, com CHC </w:t>
            </w:r>
            <w:proofErr w:type="spellStart"/>
            <w:r>
              <w:rPr>
                <w:sz w:val="18"/>
              </w:rPr>
              <w:t>irresecável</w:t>
            </w:r>
            <w:proofErr w:type="spellEnd"/>
            <w:r>
              <w:rPr>
                <w:sz w:val="18"/>
              </w:rPr>
              <w:t xml:space="preserve">, elegíveis para a primeira TACE, FH </w:t>
            </w:r>
            <w:proofErr w:type="spellStart"/>
            <w:r>
              <w:rPr>
                <w:sz w:val="18"/>
              </w:rPr>
              <w:t>Child-Pugh</w:t>
            </w:r>
            <w:proofErr w:type="spellEnd"/>
            <w:r>
              <w:rPr>
                <w:sz w:val="18"/>
              </w:rPr>
              <w:t xml:space="preserve"> A ou </w:t>
            </w:r>
            <w:proofErr w:type="spellStart"/>
            <w:proofErr w:type="gramStart"/>
            <w:r>
              <w:rPr>
                <w:sz w:val="18"/>
              </w:rPr>
              <w:t>B,score</w:t>
            </w:r>
            <w:proofErr w:type="spellEnd"/>
            <w:proofErr w:type="gramEnd"/>
            <w:r>
              <w:rPr>
                <w:sz w:val="18"/>
              </w:rPr>
              <w:t xml:space="preserve">  ECOG-OS 0-1, com função hepática adequada. </w:t>
            </w:r>
          </w:p>
        </w:tc>
        <w:tc>
          <w:tcPr>
            <w:tcW w:w="4168"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70" w:right="0" w:firstLine="0"/>
            </w:pPr>
            <w:r>
              <w:rPr>
                <w:sz w:val="18"/>
              </w:rPr>
              <w:t>Padrão difuso da doença, presença de IV ou ME ascite TACE prévia e tratamento sistêmico prévio para CHC</w:t>
            </w: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70" w:right="0" w:firstLine="0"/>
            </w:pPr>
            <w:r>
              <w:rPr>
                <w:sz w:val="18"/>
              </w:rPr>
              <w:t xml:space="preserve">502 pacientes </w:t>
            </w:r>
          </w:p>
        </w:tc>
        <w:tc>
          <w:tcPr>
            <w:tcW w:w="1277"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70" w:right="0" w:firstLine="0"/>
              <w:jc w:val="left"/>
            </w:pPr>
            <w:r>
              <w:rPr>
                <w:sz w:val="18"/>
              </w:rPr>
              <w:t xml:space="preserve">2009-2012 (03 anos) </w:t>
            </w:r>
          </w:p>
        </w:tc>
      </w:tr>
      <w:tr w:rsidR="0024131D">
        <w:trPr>
          <w:trHeight w:val="1042"/>
        </w:trPr>
        <w:tc>
          <w:tcPr>
            <w:tcW w:w="118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24131D" w:rsidRDefault="00F92A95">
            <w:pPr>
              <w:spacing w:after="0" w:line="259" w:lineRule="auto"/>
              <w:ind w:left="158" w:right="0" w:firstLine="0"/>
              <w:jc w:val="left"/>
            </w:pPr>
            <w:proofErr w:type="spellStart"/>
            <w:r>
              <w:t>Kudo</w:t>
            </w:r>
            <w:proofErr w:type="spellEnd"/>
            <w:r>
              <w:t xml:space="preserve">, M </w:t>
            </w:r>
          </w:p>
          <w:p w:rsidR="0024131D" w:rsidRDefault="00F92A95">
            <w:pPr>
              <w:spacing w:after="29" w:line="259" w:lineRule="auto"/>
              <w:ind w:left="0" w:right="229" w:firstLine="0"/>
              <w:jc w:val="right"/>
            </w:pPr>
            <w:r>
              <w:t>et al.</w:t>
            </w:r>
            <w:r>
              <w:rPr>
                <w:vertAlign w:val="superscript"/>
              </w:rPr>
              <w:t xml:space="preserve"> 17</w:t>
            </w:r>
            <w:r>
              <w:t xml:space="preserve">,    </w:t>
            </w:r>
          </w:p>
          <w:p w:rsidR="0024131D" w:rsidRDefault="00F92A95">
            <w:pPr>
              <w:spacing w:after="0" w:line="259" w:lineRule="auto"/>
              <w:ind w:left="0" w:right="5" w:firstLine="0"/>
              <w:jc w:val="center"/>
            </w:pPr>
            <w:r>
              <w:t xml:space="preserve">(2022) </w:t>
            </w:r>
          </w:p>
        </w:tc>
        <w:tc>
          <w:tcPr>
            <w:tcW w:w="555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24131D" w:rsidRDefault="00F92A95">
            <w:pPr>
              <w:spacing w:after="0" w:line="259" w:lineRule="auto"/>
              <w:ind w:left="71" w:right="68" w:firstLine="0"/>
            </w:pPr>
            <w:r>
              <w:rPr>
                <w:sz w:val="18"/>
              </w:rPr>
              <w:t xml:space="preserve">Pacientes &gt;20 anos, com expectativa de vida &gt;/=12 semanas, com tumor local, sem presença de IV ou ME com no máximo 10 tumores&lt;10 cm, pacientes que realizaram 1 ou 2 </w:t>
            </w:r>
            <w:proofErr w:type="spellStart"/>
            <w:r>
              <w:rPr>
                <w:sz w:val="18"/>
              </w:rPr>
              <w:t>TACEs</w:t>
            </w:r>
            <w:proofErr w:type="spellEnd"/>
            <w:r>
              <w:rPr>
                <w:sz w:val="18"/>
              </w:rPr>
              <w:t xml:space="preserve"> &lt; </w:t>
            </w:r>
            <w:r>
              <w:rPr>
                <w:sz w:val="18"/>
              </w:rPr>
              <w:t xml:space="preserve">6 meses do início do estudo, ECOG 0-1, Score </w:t>
            </w:r>
            <w:proofErr w:type="spellStart"/>
            <w:r>
              <w:rPr>
                <w:sz w:val="18"/>
              </w:rPr>
              <w:t>Child-Pugh</w:t>
            </w:r>
            <w:proofErr w:type="spellEnd"/>
            <w:r>
              <w:rPr>
                <w:sz w:val="18"/>
              </w:rPr>
              <w:t xml:space="preserve">&lt;/=7 e FH preservada </w:t>
            </w:r>
          </w:p>
        </w:tc>
        <w:tc>
          <w:tcPr>
            <w:tcW w:w="4168" w:type="dxa"/>
            <w:tcBorders>
              <w:top w:val="single" w:sz="4" w:space="0" w:color="000000"/>
              <w:left w:val="single" w:sz="4" w:space="0" w:color="000000"/>
              <w:bottom w:val="single" w:sz="4" w:space="0" w:color="000000"/>
              <w:right w:val="single" w:sz="4" w:space="0" w:color="000000"/>
            </w:tcBorders>
            <w:shd w:val="clear" w:color="auto" w:fill="D9D9D9"/>
          </w:tcPr>
          <w:p w:rsidR="0024131D" w:rsidRDefault="00F92A95">
            <w:pPr>
              <w:spacing w:after="0" w:line="259" w:lineRule="auto"/>
              <w:ind w:left="70" w:right="71" w:firstLine="0"/>
            </w:pPr>
            <w:r>
              <w:rPr>
                <w:sz w:val="18"/>
              </w:rPr>
              <w:t>Terapia sistêmica prévia, tumor maligno prévio ou atual, com doença cardíaca ou infecção, lesões tumorais difusas, ME, IV encefalopatia hepática, ascite, previamente tratados para</w:t>
            </w:r>
            <w:r>
              <w:rPr>
                <w:sz w:val="18"/>
              </w:rPr>
              <w:t xml:space="preserve"> CHC avançado e doença hepática descontrolada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24131D" w:rsidRDefault="00F92A95">
            <w:pPr>
              <w:spacing w:after="0" w:line="259" w:lineRule="auto"/>
              <w:ind w:left="70" w:right="0" w:firstLine="0"/>
            </w:pPr>
            <w:r>
              <w:rPr>
                <w:sz w:val="18"/>
              </w:rPr>
              <w:t xml:space="preserve">156 pacientes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24131D" w:rsidRDefault="00F92A95">
            <w:pPr>
              <w:spacing w:after="0" w:line="259" w:lineRule="auto"/>
              <w:ind w:left="70" w:right="0" w:firstLine="0"/>
              <w:jc w:val="left"/>
            </w:pPr>
            <w:r>
              <w:rPr>
                <w:sz w:val="18"/>
              </w:rPr>
              <w:t xml:space="preserve">2011-2020 (09 anos) </w:t>
            </w:r>
          </w:p>
        </w:tc>
      </w:tr>
      <w:tr w:rsidR="0024131D">
        <w:trPr>
          <w:trHeight w:val="1048"/>
        </w:trPr>
        <w:tc>
          <w:tcPr>
            <w:tcW w:w="1187"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137" w:right="0" w:firstLine="0"/>
              <w:jc w:val="left"/>
            </w:pPr>
            <w:proofErr w:type="spellStart"/>
            <w:r>
              <w:t>Lencioni</w:t>
            </w:r>
            <w:proofErr w:type="spellEnd"/>
            <w:r>
              <w:t xml:space="preserve">, </w:t>
            </w:r>
          </w:p>
          <w:p w:rsidR="0024131D" w:rsidRDefault="00F92A95">
            <w:pPr>
              <w:spacing w:after="0" w:line="259" w:lineRule="auto"/>
              <w:ind w:left="0" w:right="0" w:firstLine="0"/>
              <w:jc w:val="center"/>
            </w:pPr>
            <w:r>
              <w:t>R et al.</w:t>
            </w:r>
            <w:r>
              <w:rPr>
                <w:vertAlign w:val="superscript"/>
              </w:rPr>
              <w:t xml:space="preserve"> 13</w:t>
            </w:r>
            <w:r>
              <w:t xml:space="preserve">, (2016) </w:t>
            </w:r>
          </w:p>
        </w:tc>
        <w:tc>
          <w:tcPr>
            <w:tcW w:w="5558"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71" w:right="73" w:firstLine="0"/>
            </w:pPr>
            <w:r>
              <w:rPr>
                <w:sz w:val="18"/>
              </w:rPr>
              <w:t xml:space="preserve">CHC </w:t>
            </w:r>
            <w:proofErr w:type="spellStart"/>
            <w:r>
              <w:rPr>
                <w:sz w:val="18"/>
              </w:rPr>
              <w:t>irresecável</w:t>
            </w:r>
            <w:proofErr w:type="spellEnd"/>
            <w:r>
              <w:rPr>
                <w:sz w:val="18"/>
              </w:rPr>
              <w:t xml:space="preserve">, </w:t>
            </w:r>
            <w:proofErr w:type="spellStart"/>
            <w:r>
              <w:rPr>
                <w:sz w:val="18"/>
              </w:rPr>
              <w:t>multinodular</w:t>
            </w:r>
            <w:proofErr w:type="spellEnd"/>
            <w:r>
              <w:rPr>
                <w:sz w:val="18"/>
              </w:rPr>
              <w:t xml:space="preserve">, assintomático, sem IM ou ME </w:t>
            </w:r>
            <w:proofErr w:type="spellStart"/>
            <w:r>
              <w:rPr>
                <w:sz w:val="18"/>
              </w:rPr>
              <w:t>Child</w:t>
            </w:r>
            <w:proofErr w:type="spellEnd"/>
            <w:r>
              <w:rPr>
                <w:sz w:val="18"/>
              </w:rPr>
              <w:t xml:space="preserve"> </w:t>
            </w:r>
            <w:proofErr w:type="spellStart"/>
            <w:r>
              <w:rPr>
                <w:sz w:val="18"/>
              </w:rPr>
              <w:t>Pugh</w:t>
            </w:r>
            <w:proofErr w:type="spellEnd"/>
            <w:r>
              <w:rPr>
                <w:sz w:val="18"/>
              </w:rPr>
              <w:t xml:space="preserve"> A e FH </w:t>
            </w:r>
            <w:r>
              <w:rPr>
                <w:sz w:val="18"/>
              </w:rPr>
              <w:t xml:space="preserve">compensada, ECOG 0, sem ascite, idade&gt;/= 18 anos, com uma expectativa de vida&gt;/= 12 semanas, adequada função da medula óssea e função hepática e renal compensadas </w:t>
            </w:r>
          </w:p>
        </w:tc>
        <w:tc>
          <w:tcPr>
            <w:tcW w:w="4168"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70" w:right="69" w:firstLine="0"/>
            </w:pPr>
            <w:r>
              <w:rPr>
                <w:sz w:val="18"/>
              </w:rPr>
              <w:t>CHC difuso, IM, ME, hepatopatia avançada, sangramento GI, encefalopatia ou ascite, contraind</w:t>
            </w:r>
            <w:r>
              <w:rPr>
                <w:sz w:val="18"/>
              </w:rPr>
              <w:t xml:space="preserve">icações para embolização, se já teve tratamento local, realizou TACE, foi tratado com um inibidor </w:t>
            </w:r>
            <w:proofErr w:type="spellStart"/>
            <w:r>
              <w:rPr>
                <w:sz w:val="18"/>
              </w:rPr>
              <w:t>kinase</w:t>
            </w:r>
            <w:proofErr w:type="spellEnd"/>
            <w:r>
              <w:rPr>
                <w:sz w:val="18"/>
              </w:rPr>
              <w:t xml:space="preserve">, ou recebeu anticíclicos ou radioterapia para CHC </w:t>
            </w:r>
          </w:p>
        </w:tc>
        <w:tc>
          <w:tcPr>
            <w:tcW w:w="1133"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70" w:right="0" w:firstLine="0"/>
            </w:pPr>
            <w:r>
              <w:rPr>
                <w:sz w:val="18"/>
              </w:rPr>
              <w:t xml:space="preserve">307 pacientes </w:t>
            </w:r>
          </w:p>
        </w:tc>
        <w:tc>
          <w:tcPr>
            <w:tcW w:w="1277"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70" w:right="0" w:firstLine="0"/>
              <w:jc w:val="left"/>
            </w:pPr>
            <w:r>
              <w:rPr>
                <w:sz w:val="18"/>
              </w:rPr>
              <w:t xml:space="preserve">2009-2013 (04 anos) </w:t>
            </w:r>
          </w:p>
        </w:tc>
      </w:tr>
      <w:tr w:rsidR="0024131D">
        <w:trPr>
          <w:trHeight w:val="1249"/>
        </w:trPr>
        <w:tc>
          <w:tcPr>
            <w:tcW w:w="118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24131D" w:rsidRDefault="00F92A95">
            <w:pPr>
              <w:spacing w:after="0" w:line="259" w:lineRule="auto"/>
              <w:ind w:left="146" w:right="0" w:firstLine="0"/>
              <w:jc w:val="left"/>
            </w:pPr>
            <w:r>
              <w:t xml:space="preserve">Meyer, T </w:t>
            </w:r>
          </w:p>
          <w:p w:rsidR="0024131D" w:rsidRDefault="00F92A95">
            <w:pPr>
              <w:spacing w:after="31" w:line="259" w:lineRule="auto"/>
              <w:ind w:left="0" w:right="229" w:firstLine="0"/>
              <w:jc w:val="right"/>
            </w:pPr>
            <w:r>
              <w:t>et al.</w:t>
            </w:r>
            <w:r>
              <w:rPr>
                <w:vertAlign w:val="superscript"/>
              </w:rPr>
              <w:t xml:space="preserve"> 14</w:t>
            </w:r>
            <w:r>
              <w:t xml:space="preserve">,    </w:t>
            </w:r>
          </w:p>
          <w:p w:rsidR="0024131D" w:rsidRDefault="00F92A95">
            <w:pPr>
              <w:spacing w:after="0" w:line="259" w:lineRule="auto"/>
              <w:ind w:left="0" w:right="5" w:firstLine="0"/>
              <w:jc w:val="center"/>
            </w:pPr>
            <w:r>
              <w:t>(2017)</w:t>
            </w:r>
            <w:r>
              <w:rPr>
                <w:sz w:val="20"/>
              </w:rPr>
              <w:t xml:space="preserve"> </w:t>
            </w:r>
          </w:p>
        </w:tc>
        <w:tc>
          <w:tcPr>
            <w:tcW w:w="5558" w:type="dxa"/>
            <w:tcBorders>
              <w:top w:val="single" w:sz="4" w:space="0" w:color="000000"/>
              <w:left w:val="single" w:sz="4" w:space="0" w:color="000000"/>
              <w:bottom w:val="single" w:sz="4" w:space="0" w:color="000000"/>
              <w:right w:val="single" w:sz="4" w:space="0" w:color="000000"/>
            </w:tcBorders>
            <w:shd w:val="clear" w:color="auto" w:fill="D9D9D9"/>
          </w:tcPr>
          <w:p w:rsidR="0024131D" w:rsidRDefault="00F92A95">
            <w:pPr>
              <w:spacing w:after="0" w:line="238" w:lineRule="auto"/>
              <w:ind w:left="71" w:right="69" w:firstLine="0"/>
            </w:pPr>
            <w:r>
              <w:rPr>
                <w:sz w:val="18"/>
              </w:rPr>
              <w:t xml:space="preserve">CHC de acordo com o critério AASLD, &gt;/= 18 anos, com pelo menos uma lesão medida com o RECIST v1.1, não sendo candidato para ressecção ou transplante, ECOG 0-1, </w:t>
            </w:r>
            <w:proofErr w:type="spellStart"/>
            <w:r>
              <w:rPr>
                <w:sz w:val="18"/>
              </w:rPr>
              <w:t>Child-Pugh</w:t>
            </w:r>
            <w:proofErr w:type="spellEnd"/>
            <w:r>
              <w:rPr>
                <w:sz w:val="18"/>
              </w:rPr>
              <w:t xml:space="preserve"> A, </w:t>
            </w:r>
            <w:proofErr w:type="spellStart"/>
            <w:r>
              <w:rPr>
                <w:sz w:val="18"/>
              </w:rPr>
              <w:t>Hb</w:t>
            </w:r>
            <w:proofErr w:type="spellEnd"/>
            <w:r>
              <w:rPr>
                <w:sz w:val="18"/>
              </w:rPr>
              <w:t>&gt;/= 9 mg/</w:t>
            </w:r>
            <w:proofErr w:type="spellStart"/>
            <w:r>
              <w:rPr>
                <w:sz w:val="18"/>
              </w:rPr>
              <w:t>dL</w:t>
            </w:r>
            <w:proofErr w:type="spellEnd"/>
            <w:r>
              <w:rPr>
                <w:sz w:val="18"/>
              </w:rPr>
              <w:t>, contagem de neutrófilo de pelo menos 1.5X109 células/litro, BT&lt;50,</w:t>
            </w:r>
            <w:r>
              <w:rPr>
                <w:sz w:val="18"/>
              </w:rPr>
              <w:t xml:space="preserve"> AST ou </w:t>
            </w:r>
          </w:p>
          <w:p w:rsidR="0024131D" w:rsidRDefault="00F92A95">
            <w:pPr>
              <w:spacing w:after="0" w:line="259" w:lineRule="auto"/>
              <w:ind w:left="71" w:right="0" w:firstLine="0"/>
            </w:pPr>
            <w:r>
              <w:rPr>
                <w:sz w:val="18"/>
              </w:rPr>
              <w:t xml:space="preserve">ALT&lt;5XLSN ou menos, ALP&lt;4XLSN, Cr&lt;/= 1.5XLSN, INR&lt;/= 1.5XLSN e FE de pelo menos 45% </w:t>
            </w:r>
          </w:p>
        </w:tc>
        <w:tc>
          <w:tcPr>
            <w:tcW w:w="4168" w:type="dxa"/>
            <w:tcBorders>
              <w:top w:val="single" w:sz="4" w:space="0" w:color="000000"/>
              <w:left w:val="single" w:sz="4" w:space="0" w:color="000000"/>
              <w:bottom w:val="single" w:sz="4" w:space="0" w:color="000000"/>
              <w:right w:val="single" w:sz="4" w:space="0" w:color="000000"/>
            </w:tcBorders>
            <w:shd w:val="clear" w:color="auto" w:fill="D9D9D9"/>
          </w:tcPr>
          <w:p w:rsidR="0024131D" w:rsidRDefault="00F92A95">
            <w:pPr>
              <w:spacing w:after="0" w:line="259" w:lineRule="auto"/>
              <w:ind w:left="70" w:right="69" w:firstLine="0"/>
            </w:pPr>
            <w:r>
              <w:rPr>
                <w:sz w:val="18"/>
              </w:rPr>
              <w:t xml:space="preserve">ME, embolização prévia, terapia sistêmica ou radioterapia para CHC, contraindicação para embolização, terapia </w:t>
            </w:r>
            <w:proofErr w:type="spellStart"/>
            <w:r>
              <w:rPr>
                <w:sz w:val="18"/>
              </w:rPr>
              <w:t>investigacional</w:t>
            </w:r>
            <w:proofErr w:type="spellEnd"/>
            <w:r>
              <w:rPr>
                <w:sz w:val="18"/>
              </w:rPr>
              <w:t>, grande cirurgia ou sangramento dent</w:t>
            </w:r>
            <w:r>
              <w:rPr>
                <w:sz w:val="18"/>
              </w:rPr>
              <w:t xml:space="preserve">ro de 4 semanas de entrada, encefalopatia hepática, oclusão de artéria hepática ou de veia porta, IAM dentro de 6 meses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24131D" w:rsidRDefault="00F92A95">
            <w:pPr>
              <w:spacing w:after="0" w:line="259" w:lineRule="auto"/>
              <w:ind w:left="70" w:right="0" w:firstLine="0"/>
            </w:pPr>
            <w:r>
              <w:rPr>
                <w:sz w:val="18"/>
              </w:rPr>
              <w:t xml:space="preserve">313 pacientes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24131D" w:rsidRDefault="00F92A95">
            <w:pPr>
              <w:spacing w:after="0" w:line="259" w:lineRule="auto"/>
              <w:ind w:left="70" w:right="0" w:firstLine="0"/>
              <w:jc w:val="left"/>
            </w:pPr>
            <w:r>
              <w:rPr>
                <w:sz w:val="18"/>
              </w:rPr>
              <w:t xml:space="preserve">2010-2016 (06 anos) </w:t>
            </w:r>
          </w:p>
        </w:tc>
      </w:tr>
      <w:tr w:rsidR="0024131D">
        <w:trPr>
          <w:trHeight w:val="1255"/>
        </w:trPr>
        <w:tc>
          <w:tcPr>
            <w:tcW w:w="1187"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139" w:right="0" w:firstLine="0"/>
              <w:jc w:val="left"/>
            </w:pPr>
            <w:r>
              <w:lastRenderedPageBreak/>
              <w:t xml:space="preserve">Pinter, M </w:t>
            </w:r>
          </w:p>
          <w:p w:rsidR="0024131D" w:rsidRDefault="00F92A95">
            <w:pPr>
              <w:spacing w:after="27" w:line="259" w:lineRule="auto"/>
              <w:ind w:left="0" w:right="200" w:firstLine="0"/>
              <w:jc w:val="right"/>
            </w:pPr>
            <w:r>
              <w:t>et al.</w:t>
            </w:r>
            <w:r>
              <w:rPr>
                <w:vertAlign w:val="superscript"/>
              </w:rPr>
              <w:t xml:space="preserve"> </w:t>
            </w:r>
            <w:proofErr w:type="gramStart"/>
            <w:r>
              <w:rPr>
                <w:vertAlign w:val="superscript"/>
              </w:rPr>
              <w:t>15</w:t>
            </w:r>
            <w:r>
              <w:t xml:space="preserve"> ,</w:t>
            </w:r>
            <w:proofErr w:type="gramEnd"/>
            <w:r>
              <w:t xml:space="preserve">   </w:t>
            </w:r>
          </w:p>
          <w:p w:rsidR="0024131D" w:rsidRDefault="00F92A95">
            <w:pPr>
              <w:spacing w:after="0" w:line="259" w:lineRule="auto"/>
              <w:ind w:left="0" w:right="5" w:firstLine="0"/>
              <w:jc w:val="center"/>
            </w:pPr>
            <w:r>
              <w:t>(2015)</w:t>
            </w:r>
            <w:r>
              <w:rPr>
                <w:sz w:val="20"/>
              </w:rPr>
              <w:t xml:space="preserve"> </w:t>
            </w:r>
          </w:p>
        </w:tc>
        <w:tc>
          <w:tcPr>
            <w:tcW w:w="5558"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71" w:right="0" w:hanging="91"/>
            </w:pPr>
            <w:r>
              <w:t xml:space="preserve"> </w:t>
            </w:r>
            <w:r>
              <w:rPr>
                <w:sz w:val="18"/>
              </w:rPr>
              <w:t xml:space="preserve">CHC em estágio inicial (BCLC A), nódulo único ou </w:t>
            </w:r>
            <w:proofErr w:type="spellStart"/>
            <w:r>
              <w:rPr>
                <w:sz w:val="18"/>
              </w:rPr>
              <w:t>multinodular</w:t>
            </w:r>
            <w:proofErr w:type="spellEnd"/>
            <w:r>
              <w:rPr>
                <w:sz w:val="18"/>
              </w:rPr>
              <w:t xml:space="preserve">&gt;/= 15 cm </w:t>
            </w:r>
            <w:r>
              <w:rPr>
                <w:sz w:val="28"/>
                <w:vertAlign w:val="subscript"/>
              </w:rPr>
              <w:t xml:space="preserve">de diâmetro, sem contraindicação para TACE, pacientes virgens de </w:t>
            </w:r>
            <w:r>
              <w:rPr>
                <w:sz w:val="18"/>
              </w:rPr>
              <w:t xml:space="preserve">tratamento ou com recorrência após ablação local ou ressecção. </w:t>
            </w:r>
          </w:p>
        </w:tc>
        <w:tc>
          <w:tcPr>
            <w:tcW w:w="4168"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70" w:right="70" w:firstLine="0"/>
            </w:pPr>
            <w:r>
              <w:rPr>
                <w:sz w:val="18"/>
              </w:rPr>
              <w:t>Pacientes com ICC NYHA&gt;/=II ou com cardiomiopatia com FE</w:t>
            </w:r>
            <w:r>
              <w:rPr>
                <w:sz w:val="18"/>
              </w:rPr>
              <w:t xml:space="preserve">V&lt;45%, BCLC C ou D, com terapia </w:t>
            </w:r>
            <w:proofErr w:type="spellStart"/>
            <w:r>
              <w:rPr>
                <w:sz w:val="18"/>
              </w:rPr>
              <w:t>transarterial</w:t>
            </w:r>
            <w:proofErr w:type="spellEnd"/>
            <w:r>
              <w:rPr>
                <w:sz w:val="18"/>
              </w:rPr>
              <w:t xml:space="preserve">, sangramentos de varizes, varizes esofágicas sem ligadura, cirurgia em 4 semanas, uso de anticoagulantes, HAS descontrolado, doença cardiovascular em 6 meses </w:t>
            </w:r>
          </w:p>
        </w:tc>
        <w:tc>
          <w:tcPr>
            <w:tcW w:w="1133"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70" w:right="0" w:firstLine="0"/>
              <w:jc w:val="left"/>
            </w:pPr>
            <w:r>
              <w:rPr>
                <w:sz w:val="18"/>
              </w:rPr>
              <w:t xml:space="preserve">40 pacientes </w:t>
            </w:r>
          </w:p>
        </w:tc>
        <w:tc>
          <w:tcPr>
            <w:tcW w:w="1277"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70" w:right="0" w:firstLine="0"/>
              <w:jc w:val="left"/>
            </w:pPr>
            <w:r>
              <w:rPr>
                <w:sz w:val="18"/>
              </w:rPr>
              <w:t xml:space="preserve">2006-2010 (04 anos) </w:t>
            </w:r>
          </w:p>
        </w:tc>
      </w:tr>
    </w:tbl>
    <w:p w:rsidR="0024131D" w:rsidRDefault="00F92A95">
      <w:pPr>
        <w:spacing w:after="0" w:line="259" w:lineRule="auto"/>
        <w:ind w:left="0" w:right="62" w:firstLine="0"/>
        <w:jc w:val="right"/>
      </w:pPr>
      <w:r>
        <w:rPr>
          <w:color w:val="FFFFFF"/>
        </w:rPr>
        <w:t xml:space="preserve">Quadro </w:t>
      </w:r>
    </w:p>
    <w:p w:rsidR="0024131D" w:rsidRDefault="00F92A95">
      <w:pPr>
        <w:spacing w:after="0" w:line="259" w:lineRule="auto"/>
        <w:ind w:left="0" w:right="0" w:firstLine="0"/>
        <w:jc w:val="right"/>
      </w:pPr>
      <w:r>
        <w:t xml:space="preserve"> </w:t>
      </w:r>
    </w:p>
    <w:p w:rsidR="0024131D" w:rsidRDefault="00F92A95">
      <w:pPr>
        <w:spacing w:after="0" w:line="259" w:lineRule="auto"/>
        <w:ind w:left="0" w:right="0" w:firstLine="0"/>
        <w:jc w:val="left"/>
      </w:pPr>
      <w:r>
        <w:t xml:space="preserve"> </w:t>
      </w:r>
    </w:p>
    <w:p w:rsidR="0024131D" w:rsidRDefault="00F92A95">
      <w:pPr>
        <w:tabs>
          <w:tab w:val="center" w:pos="6831"/>
          <w:tab w:val="right" w:pos="14066"/>
        </w:tabs>
        <w:spacing w:after="0" w:line="259" w:lineRule="auto"/>
        <w:ind w:left="0" w:right="0" w:firstLine="0"/>
        <w:jc w:val="left"/>
      </w:pPr>
      <w:r>
        <w:rPr>
          <w:rFonts w:ascii="Calibri" w:eastAsia="Calibri" w:hAnsi="Calibri" w:cs="Calibri"/>
          <w:sz w:val="22"/>
        </w:rPr>
        <w:tab/>
      </w:r>
      <w:r>
        <w:t xml:space="preserve"> </w:t>
      </w:r>
      <w:r>
        <w:tab/>
      </w:r>
      <w:r>
        <w:t xml:space="preserve">Continuação do quadro 4: Características das populações do estudo </w:t>
      </w:r>
    </w:p>
    <w:tbl>
      <w:tblPr>
        <w:tblStyle w:val="TableGrid"/>
        <w:tblW w:w="13322" w:type="dxa"/>
        <w:tblInd w:w="5" w:type="dxa"/>
        <w:tblCellMar>
          <w:top w:w="15" w:type="dxa"/>
          <w:left w:w="70" w:type="dxa"/>
          <w:bottom w:w="4" w:type="dxa"/>
          <w:right w:w="25" w:type="dxa"/>
        </w:tblCellMar>
        <w:tblLook w:val="04A0" w:firstRow="1" w:lastRow="0" w:firstColumn="1" w:lastColumn="0" w:noHBand="0" w:noVBand="1"/>
      </w:tblPr>
      <w:tblGrid>
        <w:gridCol w:w="1174"/>
        <w:gridCol w:w="5571"/>
        <w:gridCol w:w="4026"/>
        <w:gridCol w:w="1274"/>
        <w:gridCol w:w="1277"/>
      </w:tblGrid>
      <w:tr w:rsidR="0024131D">
        <w:trPr>
          <w:trHeight w:val="1253"/>
        </w:trPr>
        <w:tc>
          <w:tcPr>
            <w:tcW w:w="1174"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19" w:right="0" w:firstLine="0"/>
            </w:pPr>
            <w:proofErr w:type="spellStart"/>
            <w:r>
              <w:t>Sansonno</w:t>
            </w:r>
            <w:proofErr w:type="spellEnd"/>
            <w:r>
              <w:t xml:space="preserve">, </w:t>
            </w:r>
          </w:p>
          <w:p w:rsidR="0024131D" w:rsidRDefault="00F92A95">
            <w:pPr>
              <w:spacing w:after="0" w:line="259" w:lineRule="auto"/>
              <w:ind w:left="0" w:right="0" w:firstLine="0"/>
              <w:jc w:val="center"/>
            </w:pPr>
            <w:r>
              <w:t>D et al.</w:t>
            </w:r>
            <w:r>
              <w:rPr>
                <w:vertAlign w:val="superscript"/>
              </w:rPr>
              <w:t xml:space="preserve"> 18</w:t>
            </w:r>
            <w:r>
              <w:t xml:space="preserve">, (2012) </w:t>
            </w:r>
          </w:p>
        </w:tc>
        <w:tc>
          <w:tcPr>
            <w:tcW w:w="5571"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0" w:right="44" w:firstLine="0"/>
            </w:pPr>
            <w:r>
              <w:rPr>
                <w:sz w:val="18"/>
              </w:rPr>
              <w:t xml:space="preserve">CHC estágio BCLC B, </w:t>
            </w:r>
            <w:proofErr w:type="spellStart"/>
            <w:r>
              <w:rPr>
                <w:sz w:val="18"/>
              </w:rPr>
              <w:t>anti-HCV</w:t>
            </w:r>
            <w:proofErr w:type="spellEnd"/>
            <w:r>
              <w:rPr>
                <w:sz w:val="18"/>
              </w:rPr>
              <w:t xml:space="preserve"> e HCV RNA positivos, </w:t>
            </w:r>
            <w:proofErr w:type="spellStart"/>
            <w:r>
              <w:rPr>
                <w:sz w:val="18"/>
              </w:rPr>
              <w:t>Child-Pugh</w:t>
            </w:r>
            <w:proofErr w:type="spellEnd"/>
            <w:r>
              <w:rPr>
                <w:sz w:val="18"/>
              </w:rPr>
              <w:t xml:space="preserve"> A e ECOG 0-</w:t>
            </w:r>
            <w:r>
              <w:rPr>
                <w:sz w:val="18"/>
              </w:rPr>
              <w:t xml:space="preserve">1, sem terapia </w:t>
            </w:r>
            <w:proofErr w:type="spellStart"/>
            <w:r>
              <w:rPr>
                <w:sz w:val="18"/>
              </w:rPr>
              <w:t>antiangiogênica</w:t>
            </w:r>
            <w:proofErr w:type="spellEnd"/>
            <w:r>
              <w:rPr>
                <w:sz w:val="18"/>
              </w:rPr>
              <w:t xml:space="preserve"> ou pelo menos 4 semanas desde a terapia sistêmica e/ou a terapia antiviral, sem comprometimento renal, sem infecções, sem uso de anticoagulantes ou sem sangramento, sem DAC instável ou IAM recente </w:t>
            </w:r>
          </w:p>
        </w:tc>
        <w:tc>
          <w:tcPr>
            <w:tcW w:w="4026"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0" w:right="45" w:firstLine="0"/>
            </w:pPr>
            <w:r>
              <w:rPr>
                <w:sz w:val="18"/>
              </w:rPr>
              <w:t>Qualquer câncer concomitant</w:t>
            </w:r>
            <w:r>
              <w:rPr>
                <w:sz w:val="18"/>
              </w:rPr>
              <w:t xml:space="preserve">e distinto de CHC, falha renal requerendo diálise, ICC, infecção de Hepatite B ou HIV, abuso de droga ou álcool, arritmia cardíaca ventricular, evento tromboembólico, hemorragia ou sangramento dentro de 4 semanas e cirurgia grande dentro de 8 semanas </w:t>
            </w:r>
          </w:p>
        </w:tc>
        <w:tc>
          <w:tcPr>
            <w:tcW w:w="1274"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0" w:right="0" w:firstLine="0"/>
              <w:jc w:val="left"/>
            </w:pPr>
            <w:r>
              <w:rPr>
                <w:sz w:val="18"/>
              </w:rPr>
              <w:t>80 p</w:t>
            </w:r>
            <w:r>
              <w:rPr>
                <w:sz w:val="18"/>
              </w:rPr>
              <w:t xml:space="preserve">acientes </w:t>
            </w:r>
          </w:p>
        </w:tc>
        <w:tc>
          <w:tcPr>
            <w:tcW w:w="1277"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0" w:right="0" w:firstLine="0"/>
              <w:jc w:val="left"/>
            </w:pPr>
            <w:r>
              <w:rPr>
                <w:sz w:val="18"/>
              </w:rPr>
              <w:t xml:space="preserve">2007-2011 (04 anos) </w:t>
            </w:r>
          </w:p>
        </w:tc>
      </w:tr>
    </w:tbl>
    <w:p w:rsidR="0024131D" w:rsidRDefault="00F92A95">
      <w:pPr>
        <w:spacing w:after="289" w:line="259" w:lineRule="auto"/>
        <w:ind w:left="5" w:right="0" w:firstLine="0"/>
        <w:jc w:val="right"/>
      </w:pPr>
      <w:r>
        <w:t xml:space="preserve"> </w:t>
      </w:r>
    </w:p>
    <w:p w:rsidR="0024131D" w:rsidRDefault="00F92A95">
      <w:pPr>
        <w:ind w:left="-5" w:right="48"/>
      </w:pPr>
      <w:r>
        <w:t>Na avaliação do tratamento combinado de QS e QT, cinco (71,4%) artigos (Hoffmann, K- et al.</w:t>
      </w:r>
      <w:r>
        <w:rPr>
          <w:vertAlign w:val="superscript"/>
        </w:rPr>
        <w:t>12</w:t>
      </w:r>
      <w:r>
        <w:t xml:space="preserve"> (2015), </w:t>
      </w:r>
      <w:proofErr w:type="spellStart"/>
      <w:r>
        <w:t>Kudo</w:t>
      </w:r>
      <w:proofErr w:type="spellEnd"/>
      <w:r>
        <w:t>, M- et al.</w:t>
      </w:r>
      <w:r>
        <w:rPr>
          <w:vertAlign w:val="superscript"/>
        </w:rPr>
        <w:t>17</w:t>
      </w:r>
      <w:r>
        <w:t xml:space="preserve"> (2022), </w:t>
      </w:r>
      <w:proofErr w:type="spellStart"/>
      <w:r>
        <w:t>Lencioni</w:t>
      </w:r>
      <w:proofErr w:type="spellEnd"/>
      <w:r>
        <w:t>, R- et al.</w:t>
      </w:r>
      <w:r>
        <w:rPr>
          <w:vertAlign w:val="superscript"/>
        </w:rPr>
        <w:t>13</w:t>
      </w:r>
      <w:r>
        <w:t xml:space="preserve"> (2016), Meyer, T- et al.</w:t>
      </w:r>
      <w:r>
        <w:rPr>
          <w:vertAlign w:val="superscript"/>
        </w:rPr>
        <w:t>14</w:t>
      </w:r>
      <w:r>
        <w:t xml:space="preserve"> (2017) e </w:t>
      </w:r>
      <w:proofErr w:type="spellStart"/>
      <w:r>
        <w:t>Sansonno</w:t>
      </w:r>
      <w:proofErr w:type="spellEnd"/>
      <w:r>
        <w:t>, D- et al.</w:t>
      </w:r>
      <w:r>
        <w:rPr>
          <w:vertAlign w:val="superscript"/>
        </w:rPr>
        <w:t>18</w:t>
      </w:r>
      <w:r>
        <w:t xml:space="preserve"> (2012), </w:t>
      </w:r>
      <w:r>
        <w:t xml:space="preserve">que analisam a QT e a QS com o uso do </w:t>
      </w:r>
      <w:proofErr w:type="spellStart"/>
      <w:r>
        <w:t>Sorafenib</w:t>
      </w:r>
      <w:proofErr w:type="spellEnd"/>
      <w:r>
        <w:t>, um (14,3%) artigo (</w:t>
      </w:r>
      <w:proofErr w:type="spellStart"/>
      <w:r>
        <w:t>Kudo</w:t>
      </w:r>
      <w:proofErr w:type="spellEnd"/>
      <w:r>
        <w:t>, M- et al.</w:t>
      </w:r>
      <w:r>
        <w:rPr>
          <w:vertAlign w:val="superscript"/>
        </w:rPr>
        <w:t>16</w:t>
      </w:r>
      <w:r>
        <w:t xml:space="preserve"> (2014), que analisa a QT e a QS com o uso do </w:t>
      </w:r>
      <w:proofErr w:type="spellStart"/>
      <w:r>
        <w:t>Brivanib</w:t>
      </w:r>
      <w:proofErr w:type="spellEnd"/>
      <w:r>
        <w:t xml:space="preserve"> e outro (14,3%) artigo (Pinter, M- et al.</w:t>
      </w:r>
      <w:r>
        <w:rPr>
          <w:vertAlign w:val="superscript"/>
        </w:rPr>
        <w:t>15</w:t>
      </w:r>
      <w:r>
        <w:t xml:space="preserve"> 2015) que analisa a QT e a QS, com o uso </w:t>
      </w:r>
      <w:proofErr w:type="spellStart"/>
      <w:r>
        <w:t>Bevacizumab</w:t>
      </w:r>
      <w:proofErr w:type="spellEnd"/>
      <w:r>
        <w:t xml:space="preserve"> (Quadro 6).  </w:t>
      </w:r>
    </w:p>
    <w:p w:rsidR="0024131D" w:rsidRDefault="00F92A95">
      <w:pPr>
        <w:spacing w:after="0" w:line="259" w:lineRule="auto"/>
        <w:ind w:left="0" w:right="0" w:firstLine="0"/>
        <w:jc w:val="left"/>
      </w:pPr>
      <w:r>
        <w:t xml:space="preserve"> </w:t>
      </w:r>
    </w:p>
    <w:p w:rsidR="0024131D" w:rsidRDefault="0024131D">
      <w:pPr>
        <w:sectPr w:rsidR="0024131D">
          <w:pgSz w:w="16838" w:h="11906" w:orient="landscape"/>
          <w:pgMar w:top="1143" w:right="1071" w:bottom="2077" w:left="1702" w:header="720" w:footer="720" w:gutter="0"/>
          <w:cols w:space="720"/>
        </w:sectPr>
      </w:pPr>
    </w:p>
    <w:p w:rsidR="0024131D" w:rsidRDefault="00F92A95">
      <w:pPr>
        <w:spacing w:after="206" w:line="259" w:lineRule="auto"/>
        <w:ind w:left="10" w:right="50"/>
        <w:jc w:val="right"/>
      </w:pPr>
      <w:r>
        <w:rPr>
          <w:sz w:val="20"/>
        </w:rPr>
        <w:lastRenderedPageBreak/>
        <w:t xml:space="preserve">22 </w:t>
      </w:r>
      <w:r>
        <w:t xml:space="preserve">Quadro 5: Características dos estudos 1. </w:t>
      </w:r>
    </w:p>
    <w:tbl>
      <w:tblPr>
        <w:tblStyle w:val="TableGrid"/>
        <w:tblW w:w="9061" w:type="dxa"/>
        <w:tblInd w:w="7" w:type="dxa"/>
        <w:tblCellMar>
          <w:top w:w="13" w:type="dxa"/>
          <w:left w:w="0" w:type="dxa"/>
          <w:bottom w:w="5" w:type="dxa"/>
          <w:right w:w="0" w:type="dxa"/>
        </w:tblCellMar>
        <w:tblLook w:val="04A0" w:firstRow="1" w:lastRow="0" w:firstColumn="1" w:lastColumn="0" w:noHBand="0" w:noVBand="1"/>
      </w:tblPr>
      <w:tblGrid>
        <w:gridCol w:w="1376"/>
        <w:gridCol w:w="1894"/>
        <w:gridCol w:w="3777"/>
        <w:gridCol w:w="2014"/>
      </w:tblGrid>
      <w:tr w:rsidR="0024131D">
        <w:trPr>
          <w:trHeight w:val="1387"/>
        </w:trPr>
        <w:tc>
          <w:tcPr>
            <w:tcW w:w="1376"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125" w:right="0" w:firstLine="0"/>
              <w:jc w:val="left"/>
            </w:pPr>
            <w:r>
              <w:rPr>
                <w:color w:val="FFFFFF"/>
              </w:rPr>
              <w:t xml:space="preserve">Autor (ano) </w:t>
            </w:r>
          </w:p>
        </w:tc>
        <w:tc>
          <w:tcPr>
            <w:tcW w:w="1894"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38" w:lineRule="auto"/>
              <w:ind w:left="66" w:right="4" w:firstLine="4"/>
              <w:jc w:val="center"/>
            </w:pPr>
            <w:r>
              <w:rPr>
                <w:color w:val="FFFFFF"/>
              </w:rPr>
              <w:t xml:space="preserve">Tipo de tratamento sistêmico </w:t>
            </w:r>
          </w:p>
          <w:p w:rsidR="0024131D" w:rsidRDefault="00F92A95">
            <w:pPr>
              <w:spacing w:after="0" w:line="259" w:lineRule="auto"/>
              <w:ind w:left="0" w:right="0" w:firstLine="0"/>
              <w:jc w:val="center"/>
            </w:pPr>
            <w:r>
              <w:rPr>
                <w:color w:val="FFFFFF"/>
              </w:rPr>
              <w:t xml:space="preserve">analisado em associação a QT </w:t>
            </w:r>
          </w:p>
        </w:tc>
        <w:tc>
          <w:tcPr>
            <w:tcW w:w="3777"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7" w:firstLine="0"/>
              <w:jc w:val="center"/>
            </w:pPr>
            <w:r>
              <w:rPr>
                <w:color w:val="FFFFFF"/>
              </w:rPr>
              <w:t xml:space="preserve">Desfechos analisados </w:t>
            </w:r>
          </w:p>
        </w:tc>
        <w:tc>
          <w:tcPr>
            <w:tcW w:w="2014"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0" w:firstLine="0"/>
              <w:jc w:val="center"/>
            </w:pPr>
            <w:r>
              <w:rPr>
                <w:color w:val="FFFFFF"/>
              </w:rPr>
              <w:t xml:space="preserve">Características da neoplasia  </w:t>
            </w:r>
          </w:p>
        </w:tc>
      </w:tr>
      <w:tr w:rsidR="0024131D">
        <w:trPr>
          <w:trHeight w:val="1326"/>
        </w:trPr>
        <w:tc>
          <w:tcPr>
            <w:tcW w:w="1376"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166" w:right="0" w:firstLine="0"/>
              <w:jc w:val="left"/>
            </w:pPr>
            <w:r>
              <w:t xml:space="preserve">Hoffmann, </w:t>
            </w:r>
          </w:p>
          <w:p w:rsidR="0024131D" w:rsidRDefault="00F92A95">
            <w:pPr>
              <w:spacing w:after="0" w:line="259" w:lineRule="auto"/>
              <w:ind w:left="0" w:right="0" w:firstLine="0"/>
              <w:jc w:val="center"/>
            </w:pPr>
            <w:r>
              <w:t>K et al</w:t>
            </w:r>
            <w:r>
              <w:rPr>
                <w:vertAlign w:val="superscript"/>
              </w:rPr>
              <w:t xml:space="preserve"> 12</w:t>
            </w:r>
            <w:r>
              <w:t xml:space="preserve">, (2015) </w:t>
            </w:r>
          </w:p>
        </w:tc>
        <w:tc>
          <w:tcPr>
            <w:tcW w:w="1894"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40" w:lineRule="auto"/>
              <w:ind w:left="37" w:right="0" w:firstLine="0"/>
              <w:jc w:val="center"/>
            </w:pPr>
            <w:proofErr w:type="spellStart"/>
            <w:r>
              <w:rPr>
                <w:sz w:val="20"/>
              </w:rPr>
              <w:t>Sorafenib</w:t>
            </w:r>
            <w:proofErr w:type="spellEnd"/>
            <w:r>
              <w:rPr>
                <w:sz w:val="20"/>
              </w:rPr>
              <w:t xml:space="preserve"> como terapia neoadjuvante </w:t>
            </w:r>
          </w:p>
          <w:p w:rsidR="0024131D" w:rsidRDefault="00F92A95">
            <w:pPr>
              <w:spacing w:after="0" w:line="259" w:lineRule="auto"/>
              <w:ind w:left="0" w:right="0" w:firstLine="0"/>
              <w:jc w:val="center"/>
            </w:pPr>
            <w:r>
              <w:rPr>
                <w:sz w:val="20"/>
              </w:rPr>
              <w:t xml:space="preserve">com QT em pacientes com indicação de transplante </w:t>
            </w:r>
          </w:p>
        </w:tc>
        <w:tc>
          <w:tcPr>
            <w:tcW w:w="3777"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0" w:right="330" w:firstLine="0"/>
              <w:jc w:val="right"/>
            </w:pPr>
            <w:r>
              <w:rPr>
                <w:sz w:val="20"/>
              </w:rPr>
              <w:t xml:space="preserve">Primário: Tempo de Progressão (TTP).       </w:t>
            </w:r>
          </w:p>
          <w:p w:rsidR="0024131D" w:rsidRDefault="00F92A95">
            <w:pPr>
              <w:spacing w:after="0" w:line="259" w:lineRule="auto"/>
              <w:ind w:left="0" w:right="4" w:firstLine="0"/>
              <w:jc w:val="center"/>
            </w:pPr>
            <w:r>
              <w:rPr>
                <w:sz w:val="20"/>
              </w:rPr>
              <w:t xml:space="preserve">Outros desfechos: Resposta do tumor, </w:t>
            </w:r>
          </w:p>
          <w:p w:rsidR="0024131D" w:rsidRDefault="00F92A95">
            <w:pPr>
              <w:spacing w:after="0" w:line="259" w:lineRule="auto"/>
              <w:ind w:left="0" w:right="0" w:firstLine="0"/>
              <w:jc w:val="center"/>
            </w:pPr>
            <w:r>
              <w:rPr>
                <w:sz w:val="20"/>
              </w:rPr>
              <w:t xml:space="preserve">Sobrevivência livre de progressão da doença (PFS) e Tempo para Transplante de fígado (TTLT). </w:t>
            </w:r>
          </w:p>
        </w:tc>
        <w:tc>
          <w:tcPr>
            <w:tcW w:w="2014"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95" w:right="0" w:firstLine="0"/>
              <w:jc w:val="left"/>
            </w:pPr>
            <w:r>
              <w:rPr>
                <w:sz w:val="20"/>
              </w:rPr>
              <w:t xml:space="preserve">Todos são Carcinomas </w:t>
            </w:r>
          </w:p>
          <w:p w:rsidR="0024131D" w:rsidRDefault="00F92A95">
            <w:pPr>
              <w:spacing w:after="0" w:line="259" w:lineRule="auto"/>
              <w:ind w:left="97" w:right="16" w:hanging="33"/>
              <w:jc w:val="center"/>
            </w:pPr>
            <w:r>
              <w:rPr>
                <w:sz w:val="20"/>
              </w:rPr>
              <w:t xml:space="preserve">Hepatocelulares, com indicação de transplante </w:t>
            </w:r>
          </w:p>
        </w:tc>
      </w:tr>
      <w:tr w:rsidR="0024131D">
        <w:trPr>
          <w:trHeight w:val="1664"/>
        </w:trPr>
        <w:tc>
          <w:tcPr>
            <w:tcW w:w="1376"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51" w:right="0" w:firstLine="0"/>
              <w:jc w:val="center"/>
            </w:pPr>
            <w:proofErr w:type="spellStart"/>
            <w:r>
              <w:t>Kudo</w:t>
            </w:r>
            <w:proofErr w:type="spellEnd"/>
            <w:r>
              <w:t>, M et al</w:t>
            </w:r>
            <w:r>
              <w:rPr>
                <w:vertAlign w:val="superscript"/>
              </w:rPr>
              <w:t xml:space="preserve"> 16</w:t>
            </w:r>
            <w:r>
              <w:t xml:space="preserve">, (2014) </w:t>
            </w:r>
          </w:p>
        </w:tc>
        <w:tc>
          <w:tcPr>
            <w:tcW w:w="1894" w:type="dxa"/>
            <w:tcBorders>
              <w:top w:val="single" w:sz="4" w:space="0" w:color="000000"/>
              <w:left w:val="single" w:sz="4" w:space="0" w:color="000000"/>
              <w:bottom w:val="single" w:sz="4" w:space="0" w:color="000000"/>
              <w:right w:val="single" w:sz="4" w:space="0" w:color="000000"/>
            </w:tcBorders>
          </w:tcPr>
          <w:p w:rsidR="0024131D" w:rsidRDefault="00F92A95">
            <w:pPr>
              <w:spacing w:after="2" w:line="237" w:lineRule="auto"/>
              <w:ind w:left="78" w:right="27" w:firstLine="0"/>
              <w:jc w:val="center"/>
            </w:pPr>
            <w:proofErr w:type="spellStart"/>
            <w:r>
              <w:rPr>
                <w:sz w:val="20"/>
              </w:rPr>
              <w:t>Brivanib</w:t>
            </w:r>
            <w:proofErr w:type="spellEnd"/>
            <w:r>
              <w:rPr>
                <w:sz w:val="20"/>
              </w:rPr>
              <w:t xml:space="preserve"> como terapia adjuvante </w:t>
            </w:r>
          </w:p>
          <w:p w:rsidR="0024131D" w:rsidRDefault="00F92A95">
            <w:pPr>
              <w:spacing w:after="0" w:line="259" w:lineRule="auto"/>
              <w:ind w:left="0" w:right="0" w:firstLine="0"/>
              <w:jc w:val="center"/>
            </w:pPr>
            <w:r>
              <w:rPr>
                <w:sz w:val="20"/>
              </w:rPr>
              <w:t xml:space="preserve">com QT em pacientes com CHC </w:t>
            </w:r>
          </w:p>
        </w:tc>
        <w:tc>
          <w:tcPr>
            <w:tcW w:w="3777"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0" w:right="425" w:firstLine="0"/>
              <w:jc w:val="right"/>
            </w:pPr>
            <w:r>
              <w:rPr>
                <w:sz w:val="20"/>
              </w:rPr>
              <w:t xml:space="preserve">Primário: Sobrevivência global (OS)        </w:t>
            </w:r>
          </w:p>
          <w:p w:rsidR="0024131D" w:rsidRDefault="00F92A95">
            <w:pPr>
              <w:spacing w:after="0" w:line="240" w:lineRule="auto"/>
              <w:ind w:left="43" w:right="0" w:firstLine="0"/>
              <w:jc w:val="center"/>
            </w:pPr>
            <w:r>
              <w:rPr>
                <w:sz w:val="20"/>
              </w:rPr>
              <w:t xml:space="preserve">Secundário: Tempo para progressão da doença (TTDP), Tempo para avanço </w:t>
            </w:r>
          </w:p>
          <w:p w:rsidR="0024131D" w:rsidRDefault="00F92A95">
            <w:pPr>
              <w:spacing w:after="0" w:line="259" w:lineRule="auto"/>
              <w:ind w:left="0" w:right="5" w:firstLine="0"/>
              <w:jc w:val="center"/>
            </w:pPr>
            <w:proofErr w:type="spellStart"/>
            <w:r>
              <w:rPr>
                <w:sz w:val="20"/>
              </w:rPr>
              <w:t>extrahepático</w:t>
            </w:r>
            <w:proofErr w:type="spellEnd"/>
            <w:r>
              <w:rPr>
                <w:sz w:val="20"/>
              </w:rPr>
              <w:t xml:space="preserve"> ou invasão vascular </w:t>
            </w:r>
          </w:p>
          <w:p w:rsidR="0024131D" w:rsidRDefault="00F92A95">
            <w:pPr>
              <w:spacing w:after="0" w:line="259" w:lineRule="auto"/>
              <w:ind w:left="0" w:right="333" w:firstLine="0"/>
              <w:jc w:val="right"/>
            </w:pPr>
            <w:r>
              <w:rPr>
                <w:sz w:val="20"/>
              </w:rPr>
              <w:t xml:space="preserve">(TTES/VI), taxa de TACE e segurança       </w:t>
            </w:r>
          </w:p>
          <w:p w:rsidR="0024131D" w:rsidRDefault="00F92A95">
            <w:pPr>
              <w:spacing w:after="0" w:line="259" w:lineRule="auto"/>
              <w:ind w:left="0" w:right="0" w:firstLine="0"/>
              <w:jc w:val="center"/>
            </w:pPr>
            <w:r>
              <w:rPr>
                <w:sz w:val="20"/>
              </w:rPr>
              <w:t xml:space="preserve">Exploratórios: Tempo de progressão radiológica (TTP) e resposta objetiva. </w:t>
            </w:r>
          </w:p>
        </w:tc>
        <w:tc>
          <w:tcPr>
            <w:tcW w:w="2014"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23" w:right="0" w:firstLine="0"/>
            </w:pPr>
            <w:r>
              <w:rPr>
                <w:sz w:val="20"/>
              </w:rPr>
              <w:t xml:space="preserve"> Todos são Carcinomas </w:t>
            </w:r>
          </w:p>
          <w:p w:rsidR="0024131D" w:rsidRDefault="00F92A95">
            <w:pPr>
              <w:spacing w:after="0" w:line="259" w:lineRule="auto"/>
              <w:ind w:left="0" w:right="0" w:firstLine="0"/>
              <w:jc w:val="center"/>
            </w:pPr>
            <w:r>
              <w:rPr>
                <w:sz w:val="20"/>
              </w:rPr>
              <w:t xml:space="preserve">Hepatocelulares, elegíveis para TACE </w:t>
            </w:r>
          </w:p>
        </w:tc>
      </w:tr>
      <w:tr w:rsidR="0024131D">
        <w:trPr>
          <w:trHeight w:val="1373"/>
        </w:trPr>
        <w:tc>
          <w:tcPr>
            <w:tcW w:w="1376"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51" w:right="0" w:firstLine="0"/>
              <w:jc w:val="center"/>
            </w:pPr>
            <w:proofErr w:type="spellStart"/>
            <w:r>
              <w:t>Kudo</w:t>
            </w:r>
            <w:proofErr w:type="spellEnd"/>
            <w:r>
              <w:t>, M et al</w:t>
            </w:r>
            <w:r>
              <w:rPr>
                <w:vertAlign w:val="superscript"/>
              </w:rPr>
              <w:t xml:space="preserve"> 17</w:t>
            </w:r>
            <w:r>
              <w:t xml:space="preserve">, (2022) </w:t>
            </w:r>
          </w:p>
        </w:tc>
        <w:tc>
          <w:tcPr>
            <w:tcW w:w="1894" w:type="dxa"/>
            <w:tcBorders>
              <w:top w:val="single" w:sz="4" w:space="0" w:color="000000"/>
              <w:left w:val="single" w:sz="4" w:space="0" w:color="000000"/>
              <w:bottom w:val="single" w:sz="4" w:space="0" w:color="000000"/>
              <w:right w:val="single" w:sz="4" w:space="0" w:color="000000"/>
            </w:tcBorders>
          </w:tcPr>
          <w:p w:rsidR="0024131D" w:rsidRDefault="00F92A95">
            <w:pPr>
              <w:spacing w:after="2" w:line="237" w:lineRule="auto"/>
              <w:ind w:left="0" w:right="0" w:firstLine="0"/>
              <w:jc w:val="center"/>
            </w:pPr>
            <w:proofErr w:type="spellStart"/>
            <w:r>
              <w:rPr>
                <w:sz w:val="20"/>
              </w:rPr>
              <w:t>Sorafenib</w:t>
            </w:r>
            <w:proofErr w:type="spellEnd"/>
            <w:r>
              <w:rPr>
                <w:sz w:val="20"/>
              </w:rPr>
              <w:t xml:space="preserve"> </w:t>
            </w:r>
            <w:r>
              <w:rPr>
                <w:sz w:val="20"/>
              </w:rPr>
              <w:t xml:space="preserve">em uso combinado com </w:t>
            </w:r>
          </w:p>
          <w:p w:rsidR="0024131D" w:rsidRDefault="00F92A95">
            <w:pPr>
              <w:spacing w:after="0" w:line="240" w:lineRule="auto"/>
              <w:ind w:left="0" w:right="0" w:firstLine="0"/>
              <w:jc w:val="center"/>
            </w:pPr>
            <w:r>
              <w:rPr>
                <w:sz w:val="20"/>
              </w:rPr>
              <w:t xml:space="preserve">TACE em pacientes com CHC </w:t>
            </w:r>
            <w:proofErr w:type="spellStart"/>
            <w:r>
              <w:rPr>
                <w:sz w:val="20"/>
              </w:rPr>
              <w:t>irresecável</w:t>
            </w:r>
            <w:proofErr w:type="spellEnd"/>
            <w:r>
              <w:rPr>
                <w:sz w:val="20"/>
              </w:rPr>
              <w:t xml:space="preserve"> </w:t>
            </w:r>
          </w:p>
          <w:p w:rsidR="0024131D" w:rsidRDefault="00F92A95">
            <w:pPr>
              <w:spacing w:after="0" w:line="259" w:lineRule="auto"/>
              <w:ind w:left="0" w:right="3" w:firstLine="0"/>
              <w:jc w:val="center"/>
            </w:pPr>
            <w:r>
              <w:rPr>
                <w:sz w:val="20"/>
              </w:rPr>
              <w:t xml:space="preserve">(TATICS TRIAL) </w:t>
            </w:r>
          </w:p>
        </w:tc>
        <w:tc>
          <w:tcPr>
            <w:tcW w:w="3777"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0" w:right="1098" w:firstLine="0"/>
              <w:jc w:val="right"/>
            </w:pPr>
            <w:r>
              <w:rPr>
                <w:sz w:val="20"/>
              </w:rPr>
              <w:t xml:space="preserve">Primário: PFS e OS                      </w:t>
            </w:r>
          </w:p>
          <w:p w:rsidR="0024131D" w:rsidRDefault="00F92A95">
            <w:pPr>
              <w:spacing w:after="0" w:line="259" w:lineRule="auto"/>
              <w:ind w:left="0" w:right="0" w:firstLine="0"/>
              <w:jc w:val="center"/>
            </w:pPr>
            <w:r>
              <w:rPr>
                <w:sz w:val="20"/>
              </w:rPr>
              <w:t xml:space="preserve">Secundários: Taxa de resposta objetiva de TACE e Segurança </w:t>
            </w:r>
          </w:p>
        </w:tc>
        <w:tc>
          <w:tcPr>
            <w:tcW w:w="2014"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95" w:right="0" w:firstLine="0"/>
              <w:jc w:val="left"/>
            </w:pPr>
            <w:r>
              <w:rPr>
                <w:sz w:val="20"/>
              </w:rPr>
              <w:t xml:space="preserve">Todos são Carcinomas </w:t>
            </w:r>
          </w:p>
          <w:p w:rsidR="0024131D" w:rsidRDefault="00F92A95">
            <w:pPr>
              <w:spacing w:after="0" w:line="259" w:lineRule="auto"/>
              <w:ind w:left="0" w:right="0" w:firstLine="0"/>
              <w:jc w:val="center"/>
            </w:pPr>
            <w:r>
              <w:rPr>
                <w:sz w:val="20"/>
              </w:rPr>
              <w:t xml:space="preserve">Hepatocelulares </w:t>
            </w:r>
            <w:proofErr w:type="spellStart"/>
            <w:r>
              <w:rPr>
                <w:sz w:val="20"/>
              </w:rPr>
              <w:t>irresecáveis</w:t>
            </w:r>
            <w:proofErr w:type="spellEnd"/>
            <w:r>
              <w:rPr>
                <w:sz w:val="20"/>
              </w:rPr>
              <w:t xml:space="preserve"> </w:t>
            </w:r>
          </w:p>
        </w:tc>
      </w:tr>
      <w:tr w:rsidR="0024131D">
        <w:trPr>
          <w:trHeight w:val="1582"/>
        </w:trPr>
        <w:tc>
          <w:tcPr>
            <w:tcW w:w="1376"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101" w:line="216" w:lineRule="auto"/>
              <w:ind w:left="34" w:right="0" w:firstLine="0"/>
              <w:jc w:val="center"/>
            </w:pPr>
            <w:proofErr w:type="spellStart"/>
            <w:r>
              <w:t>Lencioni</w:t>
            </w:r>
            <w:proofErr w:type="spellEnd"/>
            <w:r>
              <w:t>, R et al</w:t>
            </w:r>
            <w:r>
              <w:rPr>
                <w:vertAlign w:val="superscript"/>
              </w:rPr>
              <w:t xml:space="preserve"> 13</w:t>
            </w:r>
            <w:r>
              <w:t xml:space="preserve">, </w:t>
            </w:r>
          </w:p>
          <w:p w:rsidR="0024131D" w:rsidRDefault="00F92A95">
            <w:pPr>
              <w:spacing w:after="0" w:line="259" w:lineRule="auto"/>
              <w:ind w:left="0" w:right="1" w:firstLine="0"/>
              <w:jc w:val="center"/>
            </w:pPr>
            <w:r>
              <w:t xml:space="preserve">(2016) </w:t>
            </w:r>
          </w:p>
        </w:tc>
        <w:tc>
          <w:tcPr>
            <w:tcW w:w="1894"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40" w:lineRule="auto"/>
              <w:ind w:left="45" w:right="0" w:firstLine="0"/>
              <w:jc w:val="center"/>
            </w:pPr>
            <w:proofErr w:type="spellStart"/>
            <w:r>
              <w:rPr>
                <w:sz w:val="20"/>
              </w:rPr>
              <w:t>Sorafenib</w:t>
            </w:r>
            <w:proofErr w:type="spellEnd"/>
            <w:r>
              <w:rPr>
                <w:sz w:val="20"/>
              </w:rPr>
              <w:t xml:space="preserve"> em uso combinado com TACE para pacientes com CHC em estágio intermediário </w:t>
            </w:r>
          </w:p>
          <w:p w:rsidR="0024131D" w:rsidRDefault="00F92A95">
            <w:pPr>
              <w:spacing w:after="0" w:line="259" w:lineRule="auto"/>
              <w:ind w:left="0" w:right="5" w:firstLine="0"/>
              <w:jc w:val="center"/>
            </w:pPr>
            <w:r>
              <w:rPr>
                <w:sz w:val="20"/>
              </w:rPr>
              <w:t xml:space="preserve">(SPACE TRIAL) </w:t>
            </w:r>
          </w:p>
        </w:tc>
        <w:tc>
          <w:tcPr>
            <w:tcW w:w="3777"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0" w:right="1309" w:firstLine="0"/>
              <w:jc w:val="right"/>
            </w:pPr>
            <w:r>
              <w:rPr>
                <w:sz w:val="20"/>
              </w:rPr>
              <w:t xml:space="preserve">Primário: TTP                          </w:t>
            </w:r>
          </w:p>
          <w:p w:rsidR="0024131D" w:rsidRDefault="00F92A95">
            <w:pPr>
              <w:spacing w:after="0" w:line="240" w:lineRule="auto"/>
              <w:ind w:left="56" w:right="13" w:firstLine="0"/>
              <w:jc w:val="center"/>
            </w:pPr>
            <w:r>
              <w:rPr>
                <w:sz w:val="20"/>
              </w:rPr>
              <w:t xml:space="preserve">Secundário: Tempo para avanço </w:t>
            </w:r>
            <w:proofErr w:type="spellStart"/>
            <w:r>
              <w:rPr>
                <w:sz w:val="20"/>
              </w:rPr>
              <w:t>extrahepático</w:t>
            </w:r>
            <w:proofErr w:type="spellEnd"/>
            <w:r>
              <w:rPr>
                <w:sz w:val="20"/>
              </w:rPr>
              <w:t xml:space="preserve"> ou invasão vascular, </w:t>
            </w:r>
          </w:p>
          <w:p w:rsidR="0024131D" w:rsidRDefault="00F92A95">
            <w:pPr>
              <w:spacing w:after="0" w:line="240" w:lineRule="auto"/>
              <w:ind w:left="66" w:right="20" w:firstLine="0"/>
              <w:jc w:val="center"/>
            </w:pPr>
            <w:r>
              <w:rPr>
                <w:sz w:val="20"/>
              </w:rPr>
              <w:t>Sobrevivência global, Taxa de resposta glo</w:t>
            </w:r>
            <w:r>
              <w:rPr>
                <w:sz w:val="20"/>
              </w:rPr>
              <w:t xml:space="preserve">bal (ORR), Taxa de controle da doença e </w:t>
            </w:r>
          </w:p>
          <w:p w:rsidR="0024131D" w:rsidRDefault="00F92A95">
            <w:pPr>
              <w:spacing w:after="0" w:line="259" w:lineRule="auto"/>
              <w:ind w:left="0" w:right="5" w:firstLine="0"/>
              <w:jc w:val="center"/>
            </w:pPr>
            <w:r>
              <w:rPr>
                <w:sz w:val="20"/>
              </w:rPr>
              <w:t xml:space="preserve">Tempo de progressão </w:t>
            </w:r>
            <w:proofErr w:type="spellStart"/>
            <w:r>
              <w:rPr>
                <w:sz w:val="20"/>
              </w:rPr>
              <w:t>irresecável</w:t>
            </w:r>
            <w:proofErr w:type="spellEnd"/>
            <w:r>
              <w:rPr>
                <w:sz w:val="20"/>
              </w:rPr>
              <w:t xml:space="preserve"> </w:t>
            </w:r>
          </w:p>
        </w:tc>
        <w:tc>
          <w:tcPr>
            <w:tcW w:w="2014"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13" w:right="0" w:firstLine="0"/>
            </w:pPr>
            <w:r>
              <w:rPr>
                <w:sz w:val="20"/>
              </w:rPr>
              <w:t xml:space="preserve"> Todos são Carcinomas </w:t>
            </w:r>
          </w:p>
          <w:p w:rsidR="0024131D" w:rsidRDefault="00F92A95">
            <w:pPr>
              <w:spacing w:after="0" w:line="259" w:lineRule="auto"/>
              <w:ind w:left="0" w:right="0" w:firstLine="0"/>
              <w:jc w:val="center"/>
            </w:pPr>
            <w:r>
              <w:rPr>
                <w:sz w:val="20"/>
              </w:rPr>
              <w:t xml:space="preserve">Hepatocelulares em estágio intermediário </w:t>
            </w:r>
          </w:p>
        </w:tc>
      </w:tr>
      <w:tr w:rsidR="0024131D">
        <w:trPr>
          <w:trHeight w:val="1111"/>
        </w:trPr>
        <w:tc>
          <w:tcPr>
            <w:tcW w:w="1376"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39" w:right="0" w:firstLine="0"/>
              <w:jc w:val="center"/>
            </w:pPr>
            <w:r>
              <w:t>Meyer, T et al</w:t>
            </w:r>
            <w:r>
              <w:rPr>
                <w:vertAlign w:val="superscript"/>
              </w:rPr>
              <w:t xml:space="preserve"> 14</w:t>
            </w:r>
            <w:r>
              <w:t xml:space="preserve">, (2017) </w:t>
            </w:r>
          </w:p>
        </w:tc>
        <w:tc>
          <w:tcPr>
            <w:tcW w:w="1894"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40" w:lineRule="auto"/>
              <w:ind w:left="0" w:right="0" w:firstLine="0"/>
              <w:jc w:val="center"/>
            </w:pPr>
            <w:proofErr w:type="spellStart"/>
            <w:r>
              <w:rPr>
                <w:sz w:val="20"/>
              </w:rPr>
              <w:t>Sorafenib</w:t>
            </w:r>
            <w:proofErr w:type="spellEnd"/>
            <w:r>
              <w:rPr>
                <w:sz w:val="20"/>
              </w:rPr>
              <w:t xml:space="preserve"> em uso combinado com </w:t>
            </w:r>
          </w:p>
          <w:p w:rsidR="0024131D" w:rsidRDefault="00F92A95">
            <w:pPr>
              <w:spacing w:after="0" w:line="259" w:lineRule="auto"/>
              <w:ind w:left="0" w:right="0" w:firstLine="0"/>
              <w:jc w:val="center"/>
            </w:pPr>
            <w:r>
              <w:rPr>
                <w:sz w:val="20"/>
              </w:rPr>
              <w:t xml:space="preserve">TACE em pacientes com CHC </w:t>
            </w:r>
            <w:proofErr w:type="spellStart"/>
            <w:r>
              <w:rPr>
                <w:sz w:val="20"/>
              </w:rPr>
              <w:t>irresecável</w:t>
            </w:r>
            <w:proofErr w:type="spellEnd"/>
            <w:r>
              <w:rPr>
                <w:sz w:val="20"/>
              </w:rPr>
              <w:t xml:space="preserve">  </w:t>
            </w:r>
          </w:p>
        </w:tc>
        <w:tc>
          <w:tcPr>
            <w:tcW w:w="3777"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0" w:right="1321" w:firstLine="0"/>
              <w:jc w:val="right"/>
            </w:pPr>
            <w:r>
              <w:rPr>
                <w:sz w:val="20"/>
              </w:rPr>
              <w:t>Primário: PFS</w:t>
            </w:r>
            <w:r>
              <w:rPr>
                <w:sz w:val="20"/>
              </w:rPr>
              <w:t xml:space="preserve">                          </w:t>
            </w:r>
          </w:p>
          <w:p w:rsidR="0024131D" w:rsidRDefault="00F92A95">
            <w:pPr>
              <w:spacing w:after="2" w:line="237" w:lineRule="auto"/>
              <w:ind w:left="0" w:right="0" w:firstLine="0"/>
              <w:jc w:val="center"/>
            </w:pPr>
            <w:r>
              <w:rPr>
                <w:sz w:val="20"/>
              </w:rPr>
              <w:t xml:space="preserve">Secundário: Sobrevivência </w:t>
            </w:r>
            <w:proofErr w:type="gramStart"/>
            <w:r>
              <w:rPr>
                <w:sz w:val="20"/>
              </w:rPr>
              <w:t>geral ,</w:t>
            </w:r>
            <w:proofErr w:type="gramEnd"/>
            <w:r>
              <w:rPr>
                <w:sz w:val="20"/>
              </w:rPr>
              <w:t xml:space="preserve"> tempo de progressão, controle da resposta e da doença </w:t>
            </w:r>
          </w:p>
          <w:p w:rsidR="0024131D" w:rsidRDefault="00F92A95">
            <w:pPr>
              <w:spacing w:after="0" w:line="259" w:lineRule="auto"/>
              <w:ind w:left="0" w:right="6" w:firstLine="0"/>
              <w:jc w:val="center"/>
            </w:pPr>
            <w:r>
              <w:rPr>
                <w:sz w:val="20"/>
              </w:rPr>
              <w:t xml:space="preserve">pelo </w:t>
            </w:r>
            <w:proofErr w:type="spellStart"/>
            <w:r>
              <w:rPr>
                <w:sz w:val="20"/>
              </w:rPr>
              <w:t>mRECIST</w:t>
            </w:r>
            <w:proofErr w:type="spellEnd"/>
            <w:r>
              <w:rPr>
                <w:sz w:val="20"/>
              </w:rPr>
              <w:t xml:space="preserve"> </w:t>
            </w:r>
          </w:p>
        </w:tc>
        <w:tc>
          <w:tcPr>
            <w:tcW w:w="2014"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20" w:right="0" w:firstLine="0"/>
            </w:pPr>
            <w:r>
              <w:rPr>
                <w:sz w:val="20"/>
              </w:rPr>
              <w:t xml:space="preserve"> Todos são Carcinomas </w:t>
            </w:r>
          </w:p>
          <w:p w:rsidR="0024131D" w:rsidRDefault="00F92A95">
            <w:pPr>
              <w:spacing w:after="0" w:line="259" w:lineRule="auto"/>
              <w:ind w:left="0" w:right="0" w:firstLine="0"/>
              <w:jc w:val="center"/>
            </w:pPr>
            <w:r>
              <w:rPr>
                <w:sz w:val="20"/>
              </w:rPr>
              <w:t xml:space="preserve">Hepatocelulares </w:t>
            </w:r>
            <w:proofErr w:type="spellStart"/>
            <w:r>
              <w:rPr>
                <w:sz w:val="20"/>
              </w:rPr>
              <w:t>irresecáveis</w:t>
            </w:r>
            <w:proofErr w:type="spellEnd"/>
            <w:r>
              <w:rPr>
                <w:sz w:val="20"/>
              </w:rPr>
              <w:t xml:space="preserve">  </w:t>
            </w:r>
          </w:p>
        </w:tc>
      </w:tr>
      <w:tr w:rsidR="0024131D">
        <w:trPr>
          <w:trHeight w:val="1034"/>
        </w:trPr>
        <w:tc>
          <w:tcPr>
            <w:tcW w:w="1376"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32" w:right="0" w:firstLine="0"/>
              <w:jc w:val="center"/>
            </w:pPr>
            <w:r>
              <w:t>Pinter, M et al</w:t>
            </w:r>
            <w:r>
              <w:rPr>
                <w:vertAlign w:val="superscript"/>
              </w:rPr>
              <w:t xml:space="preserve"> </w:t>
            </w:r>
            <w:proofErr w:type="gramStart"/>
            <w:r>
              <w:rPr>
                <w:vertAlign w:val="superscript"/>
              </w:rPr>
              <w:t>15</w:t>
            </w:r>
            <w:r>
              <w:t xml:space="preserve"> ,</w:t>
            </w:r>
            <w:proofErr w:type="gramEnd"/>
            <w:r>
              <w:t xml:space="preserve"> (2015) </w:t>
            </w:r>
          </w:p>
        </w:tc>
        <w:tc>
          <w:tcPr>
            <w:tcW w:w="1894"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40" w:lineRule="auto"/>
              <w:ind w:left="0" w:right="0" w:firstLine="0"/>
              <w:jc w:val="center"/>
            </w:pPr>
            <w:proofErr w:type="spellStart"/>
            <w:r>
              <w:rPr>
                <w:sz w:val="20"/>
              </w:rPr>
              <w:t>Bevacizumab</w:t>
            </w:r>
            <w:proofErr w:type="spellEnd"/>
            <w:r>
              <w:rPr>
                <w:sz w:val="20"/>
              </w:rPr>
              <w:t xml:space="preserve"> em associação com </w:t>
            </w:r>
          </w:p>
          <w:p w:rsidR="0024131D" w:rsidRDefault="00F92A95">
            <w:pPr>
              <w:spacing w:after="0" w:line="259" w:lineRule="auto"/>
              <w:ind w:left="0" w:right="0" w:firstLine="0"/>
              <w:jc w:val="center"/>
            </w:pPr>
            <w:r>
              <w:rPr>
                <w:sz w:val="20"/>
              </w:rPr>
              <w:t xml:space="preserve">TACE em pacientes com CHC </w:t>
            </w:r>
          </w:p>
        </w:tc>
        <w:tc>
          <w:tcPr>
            <w:tcW w:w="3777"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40" w:lineRule="auto"/>
              <w:ind w:left="29" w:right="0" w:firstLine="0"/>
              <w:jc w:val="center"/>
            </w:pPr>
            <w:r>
              <w:rPr>
                <w:sz w:val="20"/>
              </w:rPr>
              <w:t xml:space="preserve">Primário: Progressão radiológica em 12 meses.   Secundário: Segurança e </w:t>
            </w:r>
          </w:p>
          <w:p w:rsidR="0024131D" w:rsidRDefault="00F92A95">
            <w:pPr>
              <w:spacing w:after="0" w:line="259" w:lineRule="auto"/>
              <w:ind w:left="1056" w:right="0" w:firstLine="0"/>
              <w:jc w:val="left"/>
            </w:pPr>
            <w:r>
              <w:rPr>
                <w:sz w:val="20"/>
              </w:rPr>
              <w:t xml:space="preserve">sobrevivência global        </w:t>
            </w:r>
          </w:p>
        </w:tc>
        <w:tc>
          <w:tcPr>
            <w:tcW w:w="2014"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0" w:right="0" w:firstLine="0"/>
              <w:jc w:val="center"/>
            </w:pPr>
            <w:r>
              <w:rPr>
                <w:sz w:val="20"/>
              </w:rPr>
              <w:t xml:space="preserve">Todos são Carcinomas Hepatocelulares </w:t>
            </w:r>
          </w:p>
        </w:tc>
      </w:tr>
      <w:tr w:rsidR="0024131D">
        <w:trPr>
          <w:trHeight w:val="2081"/>
        </w:trPr>
        <w:tc>
          <w:tcPr>
            <w:tcW w:w="1376"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101" w:line="216" w:lineRule="auto"/>
              <w:ind w:left="0" w:right="0" w:firstLine="0"/>
              <w:jc w:val="center"/>
            </w:pPr>
            <w:proofErr w:type="spellStart"/>
            <w:r>
              <w:t>Sansonno</w:t>
            </w:r>
            <w:proofErr w:type="spellEnd"/>
            <w:r>
              <w:t>, D et al</w:t>
            </w:r>
            <w:r>
              <w:rPr>
                <w:vertAlign w:val="superscript"/>
              </w:rPr>
              <w:t xml:space="preserve"> 18</w:t>
            </w:r>
            <w:r>
              <w:t xml:space="preserve">, </w:t>
            </w:r>
          </w:p>
          <w:p w:rsidR="0024131D" w:rsidRDefault="00F92A95">
            <w:pPr>
              <w:spacing w:after="0" w:line="259" w:lineRule="auto"/>
              <w:ind w:left="0" w:right="1" w:firstLine="0"/>
              <w:jc w:val="center"/>
            </w:pPr>
            <w:r>
              <w:t xml:space="preserve">(2012) </w:t>
            </w:r>
          </w:p>
        </w:tc>
        <w:tc>
          <w:tcPr>
            <w:tcW w:w="1894" w:type="dxa"/>
            <w:tcBorders>
              <w:top w:val="single" w:sz="4" w:space="0" w:color="000000"/>
              <w:left w:val="single" w:sz="4" w:space="0" w:color="000000"/>
              <w:bottom w:val="single" w:sz="4" w:space="0" w:color="000000"/>
              <w:right w:val="single" w:sz="4" w:space="0" w:color="000000"/>
            </w:tcBorders>
          </w:tcPr>
          <w:p w:rsidR="0024131D" w:rsidRDefault="00F92A95">
            <w:pPr>
              <w:spacing w:after="1" w:line="240" w:lineRule="auto"/>
              <w:ind w:left="0" w:right="0" w:firstLine="0"/>
              <w:jc w:val="center"/>
            </w:pPr>
            <w:proofErr w:type="spellStart"/>
            <w:r>
              <w:rPr>
                <w:sz w:val="20"/>
              </w:rPr>
              <w:t>Sorafenib</w:t>
            </w:r>
            <w:proofErr w:type="spellEnd"/>
            <w:r>
              <w:rPr>
                <w:sz w:val="20"/>
              </w:rPr>
              <w:t xml:space="preserve"> em associação com </w:t>
            </w:r>
          </w:p>
          <w:p w:rsidR="0024131D" w:rsidRDefault="00F92A95">
            <w:pPr>
              <w:spacing w:after="2" w:line="237" w:lineRule="auto"/>
              <w:ind w:left="62" w:right="12" w:firstLine="0"/>
              <w:jc w:val="center"/>
            </w:pPr>
            <w:r>
              <w:rPr>
                <w:sz w:val="20"/>
              </w:rPr>
              <w:t xml:space="preserve">TACE para tratamento de </w:t>
            </w:r>
          </w:p>
          <w:p w:rsidR="0024131D" w:rsidRDefault="00F92A95">
            <w:pPr>
              <w:spacing w:after="0" w:line="259" w:lineRule="auto"/>
              <w:ind w:left="149" w:right="0" w:firstLine="0"/>
              <w:jc w:val="left"/>
            </w:pPr>
            <w:r>
              <w:rPr>
                <w:sz w:val="20"/>
              </w:rPr>
              <w:t xml:space="preserve">pacientes com CHC </w:t>
            </w:r>
          </w:p>
          <w:p w:rsidR="0024131D" w:rsidRDefault="00F92A95">
            <w:pPr>
              <w:spacing w:after="0" w:line="240" w:lineRule="auto"/>
              <w:ind w:left="1" w:right="0" w:firstLine="0"/>
              <w:jc w:val="center"/>
            </w:pPr>
            <w:r>
              <w:rPr>
                <w:sz w:val="20"/>
              </w:rPr>
              <w:t xml:space="preserve">com HCV positivo e em estágio </w:t>
            </w:r>
          </w:p>
          <w:p w:rsidR="0024131D" w:rsidRDefault="00F92A95">
            <w:pPr>
              <w:spacing w:after="0" w:line="259" w:lineRule="auto"/>
              <w:ind w:left="44" w:right="0" w:firstLine="0"/>
              <w:jc w:val="center"/>
            </w:pPr>
            <w:r>
              <w:rPr>
                <w:sz w:val="20"/>
              </w:rPr>
              <w:t xml:space="preserve">intermediário do tumor </w:t>
            </w:r>
          </w:p>
        </w:tc>
        <w:tc>
          <w:tcPr>
            <w:tcW w:w="3777"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0" w:right="553" w:firstLine="0"/>
              <w:jc w:val="right"/>
            </w:pPr>
            <w:r>
              <w:rPr>
                <w:sz w:val="20"/>
              </w:rPr>
              <w:t xml:space="preserve">Primário: Tempo para progressão           </w:t>
            </w:r>
          </w:p>
          <w:p w:rsidR="0024131D" w:rsidRDefault="00F92A95">
            <w:pPr>
              <w:spacing w:after="0" w:line="259" w:lineRule="auto"/>
              <w:ind w:left="0" w:right="0" w:firstLine="0"/>
              <w:jc w:val="center"/>
            </w:pPr>
            <w:r>
              <w:rPr>
                <w:sz w:val="20"/>
              </w:rPr>
              <w:t xml:space="preserve">Outros: Taxa de eventos adversos e grau de toxicidade </w:t>
            </w:r>
          </w:p>
        </w:tc>
        <w:tc>
          <w:tcPr>
            <w:tcW w:w="2014" w:type="dxa"/>
            <w:tcBorders>
              <w:top w:val="single" w:sz="4" w:space="0" w:color="000000"/>
              <w:left w:val="single" w:sz="4" w:space="0" w:color="000000"/>
              <w:bottom w:val="single" w:sz="4" w:space="0" w:color="000000"/>
              <w:right w:val="single" w:sz="4" w:space="0" w:color="000000"/>
            </w:tcBorders>
          </w:tcPr>
          <w:p w:rsidR="0024131D" w:rsidRDefault="00F92A95">
            <w:pPr>
              <w:spacing w:after="1" w:line="239" w:lineRule="auto"/>
              <w:ind w:left="55" w:right="7" w:firstLine="0"/>
              <w:jc w:val="center"/>
            </w:pPr>
            <w:r>
              <w:rPr>
                <w:sz w:val="20"/>
              </w:rPr>
              <w:t xml:space="preserve">Todos são Carcinomas Hepatocelulares, que tiveram Hepatite C e em estágio </w:t>
            </w:r>
          </w:p>
          <w:p w:rsidR="0024131D" w:rsidRDefault="00F92A95">
            <w:pPr>
              <w:spacing w:after="0" w:line="259" w:lineRule="auto"/>
              <w:ind w:left="80" w:right="0" w:firstLine="0"/>
            </w:pPr>
            <w:r>
              <w:rPr>
                <w:sz w:val="20"/>
              </w:rPr>
              <w:t xml:space="preserve">intermediário do tumor </w:t>
            </w:r>
          </w:p>
        </w:tc>
      </w:tr>
    </w:tbl>
    <w:p w:rsidR="0024131D" w:rsidRDefault="00F92A95">
      <w:pPr>
        <w:spacing w:after="273" w:line="259" w:lineRule="auto"/>
        <w:ind w:left="0" w:right="0" w:firstLine="0"/>
        <w:jc w:val="left"/>
      </w:pPr>
      <w:r>
        <w:t xml:space="preserve"> </w:t>
      </w:r>
    </w:p>
    <w:p w:rsidR="0024131D" w:rsidRDefault="00F92A95">
      <w:pPr>
        <w:spacing w:after="0" w:line="259" w:lineRule="auto"/>
        <w:ind w:left="0" w:right="0" w:firstLine="0"/>
        <w:jc w:val="left"/>
      </w:pPr>
      <w:r>
        <w:t xml:space="preserve"> </w:t>
      </w:r>
    </w:p>
    <w:p w:rsidR="0024131D" w:rsidRDefault="00F92A95">
      <w:pPr>
        <w:spacing w:after="252" w:line="259" w:lineRule="auto"/>
        <w:ind w:left="0" w:right="0" w:firstLine="0"/>
        <w:jc w:val="right"/>
      </w:pPr>
      <w:r>
        <w:t xml:space="preserve"> </w:t>
      </w:r>
    </w:p>
    <w:p w:rsidR="0024131D" w:rsidRDefault="00F92A95">
      <w:pPr>
        <w:ind w:left="-5" w:right="48"/>
      </w:pPr>
      <w:r>
        <w:lastRenderedPageBreak/>
        <w:t>Nos estudos, foram analisados pelos autores alguns desfechos, como Tempo de Progressão (TTP), Sobrevida Global (OS) e Sobrevida livre de progressão (PFS) (Quadro 3). As limitações dos estudos foram diversas, mas em três artigos a amostra foi pequena (Hoffm</w:t>
      </w:r>
      <w:r>
        <w:t>ann, K- et al.</w:t>
      </w:r>
      <w:r>
        <w:rPr>
          <w:vertAlign w:val="superscript"/>
        </w:rPr>
        <w:t xml:space="preserve">12  </w:t>
      </w:r>
      <w:r>
        <w:t>(2015), Pinter, M- et al.</w:t>
      </w:r>
      <w:r>
        <w:rPr>
          <w:vertAlign w:val="superscript"/>
        </w:rPr>
        <w:t>15</w:t>
      </w:r>
      <w:r>
        <w:t xml:space="preserve"> (2015) e </w:t>
      </w:r>
      <w:proofErr w:type="spellStart"/>
      <w:r>
        <w:t>Sansonno</w:t>
      </w:r>
      <w:proofErr w:type="spellEnd"/>
      <w:r>
        <w:t>, D- et al.</w:t>
      </w:r>
      <w:r>
        <w:rPr>
          <w:vertAlign w:val="superscript"/>
        </w:rPr>
        <w:t>18</w:t>
      </w:r>
      <w:r>
        <w:t xml:space="preserve"> 2012) e em dois artigos, o desenho de estudo foi de fase II (</w:t>
      </w:r>
      <w:proofErr w:type="spellStart"/>
      <w:r>
        <w:t>Kudo</w:t>
      </w:r>
      <w:proofErr w:type="spellEnd"/>
      <w:r>
        <w:t>, M- et al.</w:t>
      </w:r>
      <w:r>
        <w:rPr>
          <w:vertAlign w:val="superscript"/>
        </w:rPr>
        <w:t>17</w:t>
      </w:r>
      <w:r>
        <w:t xml:space="preserve"> (2022) e Pinter, M- et al.</w:t>
      </w:r>
      <w:r>
        <w:rPr>
          <w:vertAlign w:val="superscript"/>
        </w:rPr>
        <w:t>15</w:t>
      </w:r>
      <w:r>
        <w:t xml:space="preserve"> 2015), e em um dos estudos, o desenho de estudo foi aberto (</w:t>
      </w:r>
      <w:proofErr w:type="spellStart"/>
      <w:r>
        <w:t>Kudo</w:t>
      </w:r>
      <w:proofErr w:type="spellEnd"/>
      <w:r>
        <w:t>, M- et</w:t>
      </w:r>
      <w:r>
        <w:t xml:space="preserve"> al.</w:t>
      </w:r>
      <w:r>
        <w:rPr>
          <w:vertAlign w:val="superscript"/>
        </w:rPr>
        <w:t>17</w:t>
      </w:r>
      <w:r>
        <w:t xml:space="preserve"> 2022) (Quadro 6).  </w:t>
      </w:r>
    </w:p>
    <w:p w:rsidR="0024131D" w:rsidRDefault="00F92A95">
      <w:pPr>
        <w:spacing w:after="368" w:line="259" w:lineRule="auto"/>
        <w:ind w:left="0" w:right="0" w:firstLine="0"/>
        <w:jc w:val="left"/>
      </w:pPr>
      <w:r>
        <w:t xml:space="preserve"> </w:t>
      </w:r>
    </w:p>
    <w:p w:rsidR="0024131D" w:rsidRDefault="00F92A95">
      <w:pPr>
        <w:ind w:left="-5" w:right="48"/>
      </w:pPr>
      <w:r>
        <w:t>Com relação aos resultados, quatro artigos (Hoffmann, K- et al.</w:t>
      </w:r>
      <w:r>
        <w:rPr>
          <w:vertAlign w:val="superscript"/>
        </w:rPr>
        <w:t>12</w:t>
      </w:r>
      <w:r>
        <w:t xml:space="preserve"> (2015), </w:t>
      </w:r>
      <w:proofErr w:type="spellStart"/>
      <w:r>
        <w:t>Kudo</w:t>
      </w:r>
      <w:proofErr w:type="spellEnd"/>
      <w:r>
        <w:t>, M- et al.</w:t>
      </w:r>
      <w:r>
        <w:rPr>
          <w:vertAlign w:val="superscript"/>
        </w:rPr>
        <w:t>16</w:t>
      </w:r>
      <w:r>
        <w:t xml:space="preserve"> (2014), </w:t>
      </w:r>
      <w:proofErr w:type="spellStart"/>
      <w:r>
        <w:t>Lencioni</w:t>
      </w:r>
      <w:proofErr w:type="spellEnd"/>
      <w:r>
        <w:t>, R- et al.</w:t>
      </w:r>
      <w:r>
        <w:rPr>
          <w:vertAlign w:val="superscript"/>
        </w:rPr>
        <w:t>13</w:t>
      </w:r>
      <w:r>
        <w:t xml:space="preserve"> (2015) e Meyer, T- et al.</w:t>
      </w:r>
      <w:r>
        <w:rPr>
          <w:vertAlign w:val="superscript"/>
        </w:rPr>
        <w:t>14</w:t>
      </w:r>
      <w:r>
        <w:t xml:space="preserve"> 2017) </w:t>
      </w:r>
      <w:r>
        <w:t>não mostraram aumento do tempo de progressão do tumor nem melhora na sobrevida global dos pacientes em uso de terapia combinada, em relação ao uso apenas da QT. Além disso, um artigo (Pinter, M- et al.</w:t>
      </w:r>
      <w:r>
        <w:rPr>
          <w:vertAlign w:val="superscript"/>
        </w:rPr>
        <w:t>15</w:t>
      </w:r>
      <w:r>
        <w:t xml:space="preserve"> 2015) não mostrou melhora da resposta radiológica do</w:t>
      </w:r>
      <w:r>
        <w:t xml:space="preserve"> tumor, um artigo (</w:t>
      </w:r>
      <w:proofErr w:type="spellStart"/>
      <w:r>
        <w:t>Kudo</w:t>
      </w:r>
      <w:proofErr w:type="spellEnd"/>
      <w:r>
        <w:t>, M- et al.</w:t>
      </w:r>
      <w:r>
        <w:rPr>
          <w:vertAlign w:val="superscript"/>
        </w:rPr>
        <w:t>17</w:t>
      </w:r>
      <w:r>
        <w:t xml:space="preserve"> 2022) não mostrou melhora da sobrevida global dos pacientes, mas demonstrou melhora na sobrevida livre de progressão e um artigo (</w:t>
      </w:r>
      <w:proofErr w:type="spellStart"/>
      <w:r>
        <w:t>Sansonno</w:t>
      </w:r>
      <w:proofErr w:type="spellEnd"/>
      <w:r>
        <w:t>, D- et al.</w:t>
      </w:r>
      <w:r>
        <w:rPr>
          <w:vertAlign w:val="superscript"/>
        </w:rPr>
        <w:t>18</w:t>
      </w:r>
      <w:r>
        <w:t xml:space="preserve"> 2012) demonstrou aumento do tempo de progressão do tumor. Portanto,</w:t>
      </w:r>
      <w:r>
        <w:t xml:space="preserve"> cinco artigos (Hoffmann, K- et al.</w:t>
      </w:r>
      <w:r>
        <w:rPr>
          <w:vertAlign w:val="superscript"/>
        </w:rPr>
        <w:t>12</w:t>
      </w:r>
      <w:r>
        <w:t xml:space="preserve"> (2015), </w:t>
      </w:r>
      <w:proofErr w:type="spellStart"/>
      <w:r>
        <w:t>Kudo</w:t>
      </w:r>
      <w:proofErr w:type="spellEnd"/>
      <w:r>
        <w:t>, M- et al.</w:t>
      </w:r>
      <w:r>
        <w:rPr>
          <w:vertAlign w:val="superscript"/>
        </w:rPr>
        <w:t>16</w:t>
      </w:r>
      <w:r>
        <w:t xml:space="preserve"> (2014), </w:t>
      </w:r>
      <w:proofErr w:type="spellStart"/>
      <w:r>
        <w:t>Lencioni</w:t>
      </w:r>
      <w:proofErr w:type="spellEnd"/>
      <w:r>
        <w:t>, R- et al.</w:t>
      </w:r>
      <w:r>
        <w:rPr>
          <w:vertAlign w:val="superscript"/>
        </w:rPr>
        <w:t xml:space="preserve">13 </w:t>
      </w:r>
      <w:r>
        <w:t>(2015) e Meyer, T- et al.</w:t>
      </w:r>
      <w:r>
        <w:rPr>
          <w:vertAlign w:val="superscript"/>
        </w:rPr>
        <w:t>14</w:t>
      </w:r>
      <w:r>
        <w:t xml:space="preserve"> (2017) e Pinter, M- et al.</w:t>
      </w:r>
      <w:r>
        <w:rPr>
          <w:vertAlign w:val="superscript"/>
        </w:rPr>
        <w:t>15</w:t>
      </w:r>
      <w:r>
        <w:t xml:space="preserve"> 2015) foram negativos e dois artigos (</w:t>
      </w:r>
      <w:proofErr w:type="spellStart"/>
      <w:r>
        <w:t>Kudo</w:t>
      </w:r>
      <w:proofErr w:type="spellEnd"/>
      <w:r>
        <w:t>, M- et al.</w:t>
      </w:r>
      <w:r>
        <w:rPr>
          <w:vertAlign w:val="superscript"/>
        </w:rPr>
        <w:t>17</w:t>
      </w:r>
      <w:r>
        <w:t xml:space="preserve"> 2022 e </w:t>
      </w:r>
      <w:proofErr w:type="spellStart"/>
      <w:r>
        <w:t>Sansonno</w:t>
      </w:r>
      <w:proofErr w:type="spellEnd"/>
      <w:r>
        <w:t>, D- et al.</w:t>
      </w:r>
      <w:r>
        <w:rPr>
          <w:vertAlign w:val="superscript"/>
        </w:rPr>
        <w:t>18</w:t>
      </w:r>
      <w:r>
        <w:t xml:space="preserve"> 2012), positivos par</w:t>
      </w:r>
      <w:r>
        <w:t xml:space="preserve">a o objetivo deste estudo, ou seja, a eficácia do tratamento combinado de QT e QS para pacientes com indicação de QT (Quadro 6). </w:t>
      </w:r>
    </w:p>
    <w:p w:rsidR="0024131D" w:rsidRDefault="00F92A95">
      <w:pPr>
        <w:spacing w:after="273" w:line="259" w:lineRule="auto"/>
        <w:ind w:left="0" w:right="0" w:firstLine="0"/>
        <w:jc w:val="left"/>
      </w:pPr>
      <w:r>
        <w:t xml:space="preserve"> </w:t>
      </w:r>
    </w:p>
    <w:p w:rsidR="0024131D" w:rsidRDefault="00F92A95">
      <w:pPr>
        <w:spacing w:after="273" w:line="259" w:lineRule="auto"/>
        <w:ind w:left="0" w:right="0" w:firstLine="0"/>
        <w:jc w:val="left"/>
      </w:pPr>
      <w:r>
        <w:t xml:space="preserve"> </w:t>
      </w:r>
    </w:p>
    <w:p w:rsidR="0024131D" w:rsidRDefault="00F92A95">
      <w:pPr>
        <w:spacing w:after="273" w:line="259" w:lineRule="auto"/>
        <w:ind w:left="0" w:right="0" w:firstLine="0"/>
        <w:jc w:val="left"/>
      </w:pPr>
      <w:r>
        <w:t xml:space="preserve"> </w:t>
      </w:r>
    </w:p>
    <w:p w:rsidR="0024131D" w:rsidRDefault="00F92A95">
      <w:pPr>
        <w:spacing w:after="276" w:line="259" w:lineRule="auto"/>
        <w:ind w:left="0" w:right="0" w:firstLine="0"/>
        <w:jc w:val="left"/>
      </w:pPr>
      <w:r>
        <w:t xml:space="preserve"> </w:t>
      </w:r>
    </w:p>
    <w:p w:rsidR="0024131D" w:rsidRDefault="00F92A95">
      <w:pPr>
        <w:spacing w:after="273" w:line="259" w:lineRule="auto"/>
        <w:ind w:left="0" w:right="0" w:firstLine="0"/>
        <w:jc w:val="left"/>
      </w:pPr>
      <w:r>
        <w:t xml:space="preserve"> </w:t>
      </w:r>
    </w:p>
    <w:p w:rsidR="0024131D" w:rsidRDefault="00F92A95">
      <w:pPr>
        <w:spacing w:after="273" w:line="259" w:lineRule="auto"/>
        <w:ind w:left="0" w:right="0" w:firstLine="0"/>
        <w:jc w:val="left"/>
      </w:pPr>
      <w:r>
        <w:t xml:space="preserve"> </w:t>
      </w:r>
    </w:p>
    <w:p w:rsidR="0024131D" w:rsidRDefault="00F92A95">
      <w:pPr>
        <w:spacing w:after="273" w:line="259" w:lineRule="auto"/>
        <w:ind w:left="0" w:right="0" w:firstLine="0"/>
        <w:jc w:val="left"/>
      </w:pPr>
      <w:r>
        <w:t xml:space="preserve"> </w:t>
      </w:r>
    </w:p>
    <w:p w:rsidR="0024131D" w:rsidRDefault="00F92A95">
      <w:pPr>
        <w:spacing w:after="273" w:line="259" w:lineRule="auto"/>
        <w:ind w:left="0" w:right="0" w:firstLine="0"/>
        <w:jc w:val="left"/>
      </w:pPr>
      <w:r>
        <w:t xml:space="preserve"> </w:t>
      </w:r>
    </w:p>
    <w:p w:rsidR="0024131D" w:rsidRDefault="00F92A95">
      <w:pPr>
        <w:spacing w:after="0" w:line="259" w:lineRule="auto"/>
        <w:ind w:left="0" w:right="0" w:firstLine="0"/>
        <w:jc w:val="left"/>
      </w:pPr>
      <w:r>
        <w:t xml:space="preserve"> </w:t>
      </w:r>
    </w:p>
    <w:p w:rsidR="0024131D" w:rsidRDefault="00F92A95">
      <w:pPr>
        <w:spacing w:after="7" w:line="259" w:lineRule="auto"/>
        <w:ind w:left="-5" w:right="48"/>
      </w:pPr>
      <w:r>
        <w:t xml:space="preserve">Quadro 6: Características dos estudos 2. </w:t>
      </w:r>
    </w:p>
    <w:tbl>
      <w:tblPr>
        <w:tblStyle w:val="TableGrid"/>
        <w:tblW w:w="9189" w:type="dxa"/>
        <w:tblInd w:w="-56" w:type="dxa"/>
        <w:tblCellMar>
          <w:top w:w="12" w:type="dxa"/>
          <w:left w:w="70" w:type="dxa"/>
          <w:bottom w:w="4" w:type="dxa"/>
          <w:right w:w="29" w:type="dxa"/>
        </w:tblCellMar>
        <w:tblLook w:val="04A0" w:firstRow="1" w:lastRow="0" w:firstColumn="1" w:lastColumn="0" w:noHBand="0" w:noVBand="1"/>
      </w:tblPr>
      <w:tblGrid>
        <w:gridCol w:w="1859"/>
        <w:gridCol w:w="2811"/>
        <w:gridCol w:w="1863"/>
        <w:gridCol w:w="2656"/>
      </w:tblGrid>
      <w:tr w:rsidR="0024131D">
        <w:trPr>
          <w:trHeight w:val="583"/>
        </w:trPr>
        <w:tc>
          <w:tcPr>
            <w:tcW w:w="1859"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43" w:firstLine="0"/>
              <w:jc w:val="center"/>
            </w:pPr>
            <w:r>
              <w:rPr>
                <w:color w:val="FFFFFF"/>
              </w:rPr>
              <w:lastRenderedPageBreak/>
              <w:t xml:space="preserve">Autor (ano) </w:t>
            </w:r>
          </w:p>
        </w:tc>
        <w:tc>
          <w:tcPr>
            <w:tcW w:w="2811"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40" w:firstLine="0"/>
              <w:jc w:val="center"/>
            </w:pPr>
            <w:r>
              <w:rPr>
                <w:color w:val="FFFFFF"/>
              </w:rPr>
              <w:t xml:space="preserve">Principais achados </w:t>
            </w:r>
          </w:p>
        </w:tc>
        <w:tc>
          <w:tcPr>
            <w:tcW w:w="1863" w:type="dxa"/>
            <w:tcBorders>
              <w:top w:val="single" w:sz="4" w:space="0" w:color="000000"/>
              <w:left w:val="single" w:sz="4" w:space="0" w:color="000000"/>
              <w:bottom w:val="single" w:sz="4" w:space="0" w:color="000000"/>
              <w:right w:val="single" w:sz="4" w:space="0" w:color="000000"/>
            </w:tcBorders>
            <w:shd w:val="clear" w:color="auto" w:fill="70AD47"/>
          </w:tcPr>
          <w:p w:rsidR="0024131D" w:rsidRDefault="00F92A95">
            <w:pPr>
              <w:spacing w:after="0" w:line="259" w:lineRule="auto"/>
              <w:ind w:left="0" w:right="0" w:firstLine="0"/>
              <w:jc w:val="center"/>
            </w:pPr>
            <w:r>
              <w:rPr>
                <w:color w:val="FFFFFF"/>
              </w:rPr>
              <w:t xml:space="preserve">Limitações do estudo </w:t>
            </w:r>
          </w:p>
        </w:tc>
        <w:tc>
          <w:tcPr>
            <w:tcW w:w="2656" w:type="dxa"/>
            <w:tcBorders>
              <w:top w:val="single" w:sz="4" w:space="0" w:color="000000"/>
              <w:left w:val="single" w:sz="4" w:space="0" w:color="000000"/>
              <w:bottom w:val="single" w:sz="4" w:space="0" w:color="000000"/>
              <w:right w:val="single" w:sz="4" w:space="0" w:color="000000"/>
            </w:tcBorders>
            <w:shd w:val="clear" w:color="auto" w:fill="70AD47"/>
            <w:vAlign w:val="bottom"/>
          </w:tcPr>
          <w:p w:rsidR="0024131D" w:rsidRDefault="00F92A95">
            <w:pPr>
              <w:spacing w:after="0" w:line="259" w:lineRule="auto"/>
              <w:ind w:left="0" w:right="45" w:firstLine="0"/>
              <w:jc w:val="center"/>
            </w:pPr>
            <w:r>
              <w:rPr>
                <w:color w:val="FFFFFF"/>
              </w:rPr>
              <w:t xml:space="preserve">Revista publicada </w:t>
            </w:r>
          </w:p>
        </w:tc>
      </w:tr>
      <w:tr w:rsidR="0024131D">
        <w:trPr>
          <w:trHeight w:val="2555"/>
        </w:trPr>
        <w:tc>
          <w:tcPr>
            <w:tcW w:w="1859"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16" w:right="1" w:firstLine="0"/>
              <w:jc w:val="center"/>
            </w:pPr>
            <w:r>
              <w:t>Hoffmann, K et al</w:t>
            </w:r>
            <w:r>
              <w:rPr>
                <w:vertAlign w:val="superscript"/>
              </w:rPr>
              <w:t xml:space="preserve"> 12</w:t>
            </w:r>
            <w:r>
              <w:t xml:space="preserve">, (2015) </w:t>
            </w:r>
          </w:p>
        </w:tc>
        <w:tc>
          <w:tcPr>
            <w:tcW w:w="2811"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39" w:lineRule="auto"/>
              <w:ind w:left="0" w:right="0" w:firstLine="0"/>
              <w:jc w:val="center"/>
            </w:pPr>
            <w:r>
              <w:rPr>
                <w:sz w:val="18"/>
              </w:rPr>
              <w:t xml:space="preserve">14 pacientes tiveram progressão do tumor. O TTP médio foi de 71 dias no GI e 85 dias no GC, a PFS foi </w:t>
            </w:r>
          </w:p>
          <w:p w:rsidR="0024131D" w:rsidRDefault="00F92A95">
            <w:pPr>
              <w:spacing w:after="0" w:line="259" w:lineRule="auto"/>
              <w:ind w:left="86" w:right="0" w:firstLine="0"/>
              <w:jc w:val="left"/>
            </w:pPr>
            <w:r>
              <w:rPr>
                <w:sz w:val="18"/>
              </w:rPr>
              <w:t xml:space="preserve">comparável nos dois grupos. Além </w:t>
            </w:r>
          </w:p>
          <w:p w:rsidR="0024131D" w:rsidRDefault="00F92A95">
            <w:pPr>
              <w:spacing w:after="0" w:line="240" w:lineRule="auto"/>
              <w:ind w:left="0" w:right="0" w:firstLine="0"/>
              <w:jc w:val="center"/>
            </w:pPr>
            <w:r>
              <w:rPr>
                <w:sz w:val="18"/>
              </w:rPr>
              <w:t xml:space="preserve">disso, as taxas de resposta objetiva e taxa de controle da doença </w:t>
            </w:r>
          </w:p>
          <w:p w:rsidR="0024131D" w:rsidRDefault="00F92A95">
            <w:pPr>
              <w:spacing w:after="0" w:line="259" w:lineRule="auto"/>
              <w:ind w:left="0" w:right="40" w:firstLine="0"/>
              <w:jc w:val="center"/>
            </w:pPr>
            <w:r>
              <w:rPr>
                <w:sz w:val="18"/>
              </w:rPr>
              <w:t xml:space="preserve">permaneceram similares nos </w:t>
            </w:r>
          </w:p>
          <w:p w:rsidR="0024131D" w:rsidRDefault="00F92A95">
            <w:pPr>
              <w:spacing w:after="0" w:line="259" w:lineRule="auto"/>
              <w:ind w:left="0" w:right="39" w:firstLine="0"/>
              <w:jc w:val="center"/>
            </w:pPr>
            <w:r>
              <w:rPr>
                <w:sz w:val="18"/>
              </w:rPr>
              <w:t xml:space="preserve">pacientes que usaram a terapia </w:t>
            </w:r>
          </w:p>
          <w:p w:rsidR="0024131D" w:rsidRDefault="00F92A95">
            <w:pPr>
              <w:spacing w:after="0" w:line="240" w:lineRule="auto"/>
              <w:ind w:left="0" w:right="0" w:firstLine="0"/>
              <w:jc w:val="center"/>
            </w:pPr>
            <w:r>
              <w:rPr>
                <w:sz w:val="18"/>
              </w:rPr>
              <w:t xml:space="preserve">neoadjuvante. Os autores acreditam que esse estudo não evidencia a </w:t>
            </w:r>
          </w:p>
          <w:p w:rsidR="0024131D" w:rsidRDefault="00F92A95">
            <w:pPr>
              <w:spacing w:after="0" w:line="259" w:lineRule="auto"/>
              <w:ind w:left="77" w:right="0" w:firstLine="0"/>
              <w:jc w:val="left"/>
            </w:pPr>
            <w:r>
              <w:rPr>
                <w:sz w:val="18"/>
              </w:rPr>
              <w:t xml:space="preserve">indicação do uso de </w:t>
            </w:r>
            <w:proofErr w:type="spellStart"/>
            <w:r>
              <w:rPr>
                <w:sz w:val="18"/>
              </w:rPr>
              <w:t>Sorafenib</w:t>
            </w:r>
            <w:proofErr w:type="spellEnd"/>
            <w:r>
              <w:rPr>
                <w:sz w:val="18"/>
              </w:rPr>
              <w:t xml:space="preserve"> com </w:t>
            </w:r>
          </w:p>
          <w:p w:rsidR="0024131D" w:rsidRDefault="00F92A95">
            <w:pPr>
              <w:spacing w:after="0" w:line="259" w:lineRule="auto"/>
              <w:ind w:left="0" w:right="38" w:firstLine="0"/>
              <w:jc w:val="center"/>
            </w:pPr>
            <w:r>
              <w:rPr>
                <w:sz w:val="18"/>
              </w:rPr>
              <w:t xml:space="preserve">QT para CHC antes do transplante </w:t>
            </w:r>
          </w:p>
        </w:tc>
        <w:tc>
          <w:tcPr>
            <w:tcW w:w="1863"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40" w:lineRule="auto"/>
              <w:ind w:left="0" w:right="0" w:firstLine="0"/>
              <w:jc w:val="center"/>
            </w:pPr>
            <w:r>
              <w:rPr>
                <w:sz w:val="18"/>
              </w:rPr>
              <w:t xml:space="preserve">Tamanho da amostra, que pode gerar um erro </w:t>
            </w:r>
          </w:p>
          <w:p w:rsidR="0024131D" w:rsidRDefault="00F92A95">
            <w:pPr>
              <w:spacing w:after="0" w:line="259" w:lineRule="auto"/>
              <w:ind w:left="0" w:right="42" w:firstLine="0"/>
              <w:jc w:val="center"/>
            </w:pPr>
            <w:r>
              <w:rPr>
                <w:sz w:val="18"/>
              </w:rPr>
              <w:t xml:space="preserve">tipo 2 </w:t>
            </w:r>
          </w:p>
        </w:tc>
        <w:tc>
          <w:tcPr>
            <w:tcW w:w="2656"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0" w:right="43" w:firstLine="0"/>
              <w:jc w:val="center"/>
            </w:pPr>
            <w:r>
              <w:rPr>
                <w:sz w:val="18"/>
              </w:rPr>
              <w:t xml:space="preserve">BMC CANCER </w:t>
            </w:r>
          </w:p>
        </w:tc>
      </w:tr>
      <w:tr w:rsidR="0024131D">
        <w:trPr>
          <w:trHeight w:val="1270"/>
        </w:trPr>
        <w:tc>
          <w:tcPr>
            <w:tcW w:w="1859"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0" w:right="0" w:firstLine="0"/>
              <w:jc w:val="center"/>
            </w:pPr>
            <w:proofErr w:type="spellStart"/>
            <w:r>
              <w:t>Kudo</w:t>
            </w:r>
            <w:proofErr w:type="spellEnd"/>
            <w:r>
              <w:t>, M et al</w:t>
            </w:r>
            <w:r>
              <w:rPr>
                <w:vertAlign w:val="superscript"/>
              </w:rPr>
              <w:t xml:space="preserve"> 16</w:t>
            </w:r>
            <w:r>
              <w:t xml:space="preserve">, (2014) </w:t>
            </w:r>
          </w:p>
        </w:tc>
        <w:tc>
          <w:tcPr>
            <w:tcW w:w="2811"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38" w:lineRule="auto"/>
              <w:ind w:left="0" w:right="0" w:firstLine="0"/>
              <w:jc w:val="center"/>
            </w:pPr>
            <w:r>
              <w:rPr>
                <w:sz w:val="18"/>
              </w:rPr>
              <w:t xml:space="preserve">A análise mostrou que não houve melhora nos desfechos primários de </w:t>
            </w:r>
          </w:p>
          <w:p w:rsidR="0024131D" w:rsidRDefault="00F92A95">
            <w:pPr>
              <w:spacing w:after="0" w:line="259" w:lineRule="auto"/>
              <w:ind w:left="33" w:right="0" w:firstLine="0"/>
              <w:jc w:val="left"/>
            </w:pPr>
            <w:r>
              <w:rPr>
                <w:sz w:val="18"/>
              </w:rPr>
              <w:t xml:space="preserve">OS nos grupos, além disso, o uso de </w:t>
            </w:r>
          </w:p>
          <w:p w:rsidR="0024131D" w:rsidRDefault="00F92A95">
            <w:pPr>
              <w:spacing w:after="0" w:line="240" w:lineRule="auto"/>
              <w:ind w:left="0" w:right="0" w:firstLine="0"/>
              <w:jc w:val="center"/>
            </w:pPr>
            <w:proofErr w:type="spellStart"/>
            <w:r>
              <w:rPr>
                <w:sz w:val="18"/>
              </w:rPr>
              <w:t>Brivanib</w:t>
            </w:r>
            <w:proofErr w:type="spellEnd"/>
            <w:r>
              <w:rPr>
                <w:sz w:val="18"/>
              </w:rPr>
              <w:t xml:space="preserve"> melhorou TTES/VI, TTP e taxa de TACE, mas não melhorou </w:t>
            </w:r>
          </w:p>
          <w:p w:rsidR="0024131D" w:rsidRDefault="00F92A95">
            <w:pPr>
              <w:spacing w:after="0" w:line="259" w:lineRule="auto"/>
              <w:ind w:left="91" w:right="0" w:firstLine="0"/>
              <w:jc w:val="left"/>
            </w:pPr>
            <w:r>
              <w:rPr>
                <w:sz w:val="18"/>
              </w:rPr>
              <w:t xml:space="preserve">TTDP em comparação ao placebo. </w:t>
            </w:r>
          </w:p>
        </w:tc>
        <w:tc>
          <w:tcPr>
            <w:tcW w:w="1863"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38" w:lineRule="auto"/>
              <w:ind w:left="0" w:right="0" w:firstLine="9"/>
              <w:jc w:val="center"/>
            </w:pPr>
            <w:r>
              <w:rPr>
                <w:sz w:val="18"/>
              </w:rPr>
              <w:t xml:space="preserve">A limitação desse estudo foi a finalização precoce, devido a um </w:t>
            </w:r>
          </w:p>
          <w:p w:rsidR="0024131D" w:rsidRDefault="00F92A95">
            <w:pPr>
              <w:spacing w:after="0" w:line="259" w:lineRule="auto"/>
              <w:ind w:left="72" w:right="0" w:firstLine="0"/>
              <w:jc w:val="left"/>
            </w:pPr>
            <w:r>
              <w:rPr>
                <w:sz w:val="18"/>
              </w:rPr>
              <w:t xml:space="preserve">número de eventos de </w:t>
            </w:r>
          </w:p>
          <w:p w:rsidR="0024131D" w:rsidRDefault="00F92A95">
            <w:pPr>
              <w:spacing w:after="0" w:line="259" w:lineRule="auto"/>
              <w:ind w:left="0" w:right="0" w:firstLine="0"/>
              <w:jc w:val="center"/>
            </w:pPr>
            <w:r>
              <w:rPr>
                <w:sz w:val="18"/>
              </w:rPr>
              <w:t xml:space="preserve">mortalidade menor do que o esperado </w:t>
            </w:r>
          </w:p>
        </w:tc>
        <w:tc>
          <w:tcPr>
            <w:tcW w:w="2656"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0" w:right="45" w:firstLine="0"/>
              <w:jc w:val="center"/>
            </w:pPr>
            <w:r>
              <w:rPr>
                <w:sz w:val="18"/>
              </w:rPr>
              <w:t xml:space="preserve">HEPATOLOGY </w:t>
            </w:r>
          </w:p>
        </w:tc>
      </w:tr>
      <w:tr w:rsidR="0024131D">
        <w:trPr>
          <w:trHeight w:val="1872"/>
        </w:trPr>
        <w:tc>
          <w:tcPr>
            <w:tcW w:w="1859"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0" w:right="0" w:firstLine="0"/>
              <w:jc w:val="center"/>
            </w:pPr>
            <w:proofErr w:type="spellStart"/>
            <w:r>
              <w:t>Kudo</w:t>
            </w:r>
            <w:proofErr w:type="spellEnd"/>
            <w:r>
              <w:t>, M et al</w:t>
            </w:r>
            <w:r>
              <w:rPr>
                <w:vertAlign w:val="superscript"/>
              </w:rPr>
              <w:t xml:space="preserve"> 17</w:t>
            </w:r>
            <w:r>
              <w:t xml:space="preserve">, (2022) </w:t>
            </w:r>
          </w:p>
        </w:tc>
        <w:tc>
          <w:tcPr>
            <w:tcW w:w="2811"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38" w:lineRule="auto"/>
              <w:ind w:left="0" w:right="0" w:firstLine="0"/>
              <w:jc w:val="center"/>
            </w:pPr>
            <w:r>
              <w:rPr>
                <w:sz w:val="18"/>
              </w:rPr>
              <w:t xml:space="preserve">A análise mostrou que a sobrevivência livre de progressão da </w:t>
            </w:r>
          </w:p>
          <w:p w:rsidR="0024131D" w:rsidRDefault="00F92A95">
            <w:pPr>
              <w:spacing w:after="0" w:line="259" w:lineRule="auto"/>
              <w:ind w:left="41" w:right="0" w:firstLine="0"/>
              <w:jc w:val="left"/>
            </w:pPr>
            <w:r>
              <w:rPr>
                <w:sz w:val="18"/>
              </w:rPr>
              <w:t xml:space="preserve">doença foi significativamente maior </w:t>
            </w:r>
          </w:p>
          <w:p w:rsidR="0024131D" w:rsidRDefault="00F92A95">
            <w:pPr>
              <w:spacing w:after="0" w:line="238" w:lineRule="auto"/>
              <w:ind w:left="0" w:right="0" w:firstLine="0"/>
              <w:jc w:val="center"/>
            </w:pPr>
            <w:r>
              <w:rPr>
                <w:sz w:val="18"/>
              </w:rPr>
              <w:t xml:space="preserve">no grupo intervenção, não houve uma significativa melhora do </w:t>
            </w:r>
          </w:p>
          <w:p w:rsidR="0024131D" w:rsidRDefault="00F92A95">
            <w:pPr>
              <w:spacing w:after="0" w:line="259" w:lineRule="auto"/>
              <w:ind w:left="7" w:right="0" w:firstLine="0"/>
            </w:pPr>
            <w:r>
              <w:rPr>
                <w:sz w:val="18"/>
              </w:rPr>
              <w:t xml:space="preserve">tratamento combinado em relação ao </w:t>
            </w:r>
          </w:p>
          <w:p w:rsidR="0024131D" w:rsidRDefault="00F92A95">
            <w:pPr>
              <w:spacing w:after="0" w:line="240" w:lineRule="auto"/>
              <w:ind w:left="0" w:right="0" w:firstLine="0"/>
              <w:jc w:val="center"/>
            </w:pPr>
            <w:r>
              <w:rPr>
                <w:sz w:val="18"/>
              </w:rPr>
              <w:t xml:space="preserve">grupo controle, mas sobrevivência global foi melhor no grupo </w:t>
            </w:r>
          </w:p>
          <w:p w:rsidR="0024131D" w:rsidRDefault="00F92A95">
            <w:pPr>
              <w:spacing w:after="0" w:line="259" w:lineRule="auto"/>
              <w:ind w:left="0" w:right="37" w:firstLine="0"/>
              <w:jc w:val="center"/>
            </w:pPr>
            <w:r>
              <w:rPr>
                <w:sz w:val="18"/>
              </w:rPr>
              <w:t xml:space="preserve">intervenção </w:t>
            </w:r>
          </w:p>
        </w:tc>
        <w:tc>
          <w:tcPr>
            <w:tcW w:w="1863" w:type="dxa"/>
            <w:tcBorders>
              <w:top w:val="single" w:sz="4" w:space="0" w:color="000000"/>
              <w:left w:val="single" w:sz="4" w:space="0" w:color="000000"/>
              <w:bottom w:val="single" w:sz="4" w:space="0" w:color="000000"/>
              <w:right w:val="single" w:sz="4" w:space="0" w:color="000000"/>
            </w:tcBorders>
          </w:tcPr>
          <w:p w:rsidR="0024131D" w:rsidRDefault="00F92A95">
            <w:pPr>
              <w:spacing w:after="2" w:line="238" w:lineRule="auto"/>
              <w:ind w:left="0" w:right="0" w:firstLine="0"/>
              <w:jc w:val="center"/>
            </w:pPr>
            <w:r>
              <w:rPr>
                <w:sz w:val="18"/>
              </w:rPr>
              <w:t xml:space="preserve">Foi um estudo aberto, em que os participantes e pesquisadores não </w:t>
            </w:r>
          </w:p>
          <w:p w:rsidR="0024131D" w:rsidRDefault="00F92A95">
            <w:pPr>
              <w:spacing w:after="0" w:line="259" w:lineRule="auto"/>
              <w:ind w:left="52" w:right="13" w:hanging="47"/>
              <w:jc w:val="center"/>
            </w:pPr>
            <w:r>
              <w:rPr>
                <w:sz w:val="18"/>
              </w:rPr>
              <w:t xml:space="preserve">foram cegados, além de que esse estudo foi tratado como um estudo Fase II. </w:t>
            </w:r>
          </w:p>
        </w:tc>
        <w:tc>
          <w:tcPr>
            <w:tcW w:w="2656"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0" w:right="43" w:firstLine="0"/>
              <w:jc w:val="center"/>
            </w:pPr>
            <w:r>
              <w:rPr>
                <w:sz w:val="18"/>
              </w:rPr>
              <w:t xml:space="preserve">LIVER CANCER </w:t>
            </w:r>
          </w:p>
        </w:tc>
      </w:tr>
      <w:tr w:rsidR="0024131D">
        <w:trPr>
          <w:trHeight w:val="1388"/>
        </w:trPr>
        <w:tc>
          <w:tcPr>
            <w:tcW w:w="1859"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0" w:right="0" w:firstLine="0"/>
              <w:jc w:val="center"/>
            </w:pPr>
            <w:proofErr w:type="spellStart"/>
            <w:r>
              <w:t>Lencioni</w:t>
            </w:r>
            <w:proofErr w:type="spellEnd"/>
            <w:r>
              <w:t>, R et al</w:t>
            </w:r>
            <w:r>
              <w:rPr>
                <w:vertAlign w:val="superscript"/>
              </w:rPr>
              <w:t xml:space="preserve"> 13</w:t>
            </w:r>
            <w:r>
              <w:t xml:space="preserve">, (2016) </w:t>
            </w:r>
          </w:p>
        </w:tc>
        <w:tc>
          <w:tcPr>
            <w:tcW w:w="2811"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39" w:lineRule="auto"/>
              <w:ind w:left="44" w:right="14" w:hanging="25"/>
              <w:jc w:val="center"/>
            </w:pPr>
            <w:r>
              <w:rPr>
                <w:sz w:val="18"/>
              </w:rPr>
              <w:t xml:space="preserve">A média de TTP foi similar nos dois grupos, tempo médio para avanço </w:t>
            </w:r>
            <w:proofErr w:type="spellStart"/>
            <w:r>
              <w:rPr>
                <w:sz w:val="18"/>
              </w:rPr>
              <w:t>extrahepático</w:t>
            </w:r>
            <w:proofErr w:type="spellEnd"/>
            <w:r>
              <w:rPr>
                <w:sz w:val="18"/>
              </w:rPr>
              <w:t xml:space="preserve"> ou invasão vascular foi similar e sobrevivência global </w:t>
            </w:r>
          </w:p>
          <w:p w:rsidR="0024131D" w:rsidRDefault="00F92A95">
            <w:pPr>
              <w:spacing w:after="0" w:line="259" w:lineRule="auto"/>
              <w:ind w:left="0" w:right="0" w:firstLine="0"/>
              <w:jc w:val="center"/>
            </w:pPr>
            <w:r>
              <w:rPr>
                <w:sz w:val="18"/>
              </w:rPr>
              <w:t xml:space="preserve">não foi alcançada. A combinação então não melhorou o TTP </w:t>
            </w:r>
          </w:p>
        </w:tc>
        <w:tc>
          <w:tcPr>
            <w:tcW w:w="1863"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0" w:right="0" w:firstLine="0"/>
              <w:jc w:val="left"/>
            </w:pPr>
            <w:r>
              <w:rPr>
                <w:sz w:val="18"/>
              </w:rPr>
              <w:t xml:space="preserve">  </w:t>
            </w:r>
          </w:p>
        </w:tc>
        <w:tc>
          <w:tcPr>
            <w:tcW w:w="2656"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84" w:right="0" w:firstLine="0"/>
              <w:jc w:val="left"/>
            </w:pPr>
            <w:r>
              <w:rPr>
                <w:sz w:val="18"/>
              </w:rPr>
              <w:t xml:space="preserve">JOURNAL OF HEPATOLOGY </w:t>
            </w:r>
          </w:p>
        </w:tc>
      </w:tr>
      <w:tr w:rsidR="0024131D" w:rsidRPr="00F92A95">
        <w:trPr>
          <w:trHeight w:val="866"/>
        </w:trPr>
        <w:tc>
          <w:tcPr>
            <w:tcW w:w="1859"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0" w:right="0" w:firstLine="0"/>
              <w:jc w:val="center"/>
            </w:pPr>
            <w:r>
              <w:t>Meyer, T et al</w:t>
            </w:r>
            <w:r>
              <w:rPr>
                <w:vertAlign w:val="superscript"/>
              </w:rPr>
              <w:t xml:space="preserve"> 14</w:t>
            </w:r>
            <w:r>
              <w:t xml:space="preserve">, (2017) </w:t>
            </w:r>
          </w:p>
        </w:tc>
        <w:tc>
          <w:tcPr>
            <w:tcW w:w="2811"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38" w:lineRule="auto"/>
              <w:ind w:left="22" w:right="18" w:firstLine="0"/>
              <w:jc w:val="center"/>
            </w:pPr>
            <w:r>
              <w:rPr>
                <w:sz w:val="18"/>
              </w:rPr>
              <w:t xml:space="preserve">Não houve evidência de diferença no PFS nos dois grupos, na </w:t>
            </w:r>
          </w:p>
          <w:p w:rsidR="0024131D" w:rsidRDefault="00F92A95">
            <w:pPr>
              <w:spacing w:after="0" w:line="259" w:lineRule="auto"/>
              <w:ind w:left="60" w:right="0" w:firstLine="0"/>
              <w:jc w:val="left"/>
            </w:pPr>
            <w:r>
              <w:rPr>
                <w:sz w:val="18"/>
              </w:rPr>
              <w:t xml:space="preserve">sobrevivência global e no tempo de </w:t>
            </w:r>
          </w:p>
          <w:p w:rsidR="0024131D" w:rsidRDefault="00F92A95">
            <w:pPr>
              <w:spacing w:after="0" w:line="259" w:lineRule="auto"/>
              <w:ind w:left="0" w:right="40" w:firstLine="0"/>
              <w:jc w:val="center"/>
            </w:pPr>
            <w:r>
              <w:rPr>
                <w:sz w:val="18"/>
              </w:rPr>
              <w:t xml:space="preserve">progressão da doença </w:t>
            </w:r>
          </w:p>
        </w:tc>
        <w:tc>
          <w:tcPr>
            <w:tcW w:w="1863"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0" w:right="0" w:firstLine="0"/>
              <w:jc w:val="left"/>
            </w:pPr>
            <w:r>
              <w:rPr>
                <w:sz w:val="18"/>
              </w:rPr>
              <w:t xml:space="preserve">  </w:t>
            </w:r>
          </w:p>
        </w:tc>
        <w:tc>
          <w:tcPr>
            <w:tcW w:w="2656" w:type="dxa"/>
            <w:tcBorders>
              <w:top w:val="single" w:sz="4" w:space="0" w:color="000000"/>
              <w:left w:val="single" w:sz="4" w:space="0" w:color="000000"/>
              <w:bottom w:val="single" w:sz="4" w:space="0" w:color="000000"/>
              <w:right w:val="single" w:sz="4" w:space="0" w:color="000000"/>
            </w:tcBorders>
          </w:tcPr>
          <w:p w:rsidR="0024131D" w:rsidRPr="00F92A95" w:rsidRDefault="00F92A95">
            <w:pPr>
              <w:spacing w:after="0" w:line="259" w:lineRule="auto"/>
              <w:ind w:left="0" w:right="41" w:firstLine="0"/>
              <w:jc w:val="center"/>
              <w:rPr>
                <w:lang w:val="en-US"/>
              </w:rPr>
            </w:pPr>
            <w:r w:rsidRPr="00F92A95">
              <w:rPr>
                <w:sz w:val="18"/>
                <w:lang w:val="en-US"/>
              </w:rPr>
              <w:t xml:space="preserve">THE LANCET </w:t>
            </w:r>
          </w:p>
          <w:p w:rsidR="0024131D" w:rsidRPr="00F92A95" w:rsidRDefault="00F92A95">
            <w:pPr>
              <w:spacing w:after="0" w:line="259" w:lineRule="auto"/>
              <w:ind w:left="0" w:right="0" w:firstLine="0"/>
              <w:jc w:val="center"/>
              <w:rPr>
                <w:lang w:val="en-US"/>
              </w:rPr>
            </w:pPr>
            <w:r w:rsidRPr="00F92A95">
              <w:rPr>
                <w:sz w:val="18"/>
                <w:lang w:val="en-US"/>
              </w:rPr>
              <w:t xml:space="preserve">GASTROENTEROLOGY AND HEPATOLOGY </w:t>
            </w:r>
          </w:p>
        </w:tc>
      </w:tr>
      <w:tr w:rsidR="0024131D" w:rsidRPr="00F92A95">
        <w:trPr>
          <w:trHeight w:val="694"/>
        </w:trPr>
        <w:tc>
          <w:tcPr>
            <w:tcW w:w="1859"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0" w:right="0" w:firstLine="0"/>
              <w:jc w:val="center"/>
            </w:pPr>
            <w:r>
              <w:t>Pinter, M et al</w:t>
            </w:r>
            <w:r>
              <w:rPr>
                <w:vertAlign w:val="superscript"/>
              </w:rPr>
              <w:t xml:space="preserve"> 15</w:t>
            </w:r>
            <w:r>
              <w:t>,</w:t>
            </w:r>
            <w:r>
              <w:rPr>
                <w:vertAlign w:val="superscript"/>
              </w:rPr>
              <w:t xml:space="preserve"> </w:t>
            </w:r>
            <w:r>
              <w:t xml:space="preserve">(2015) </w:t>
            </w:r>
          </w:p>
        </w:tc>
        <w:tc>
          <w:tcPr>
            <w:tcW w:w="2811"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38" w:lineRule="auto"/>
              <w:ind w:left="0" w:right="0" w:firstLine="0"/>
              <w:jc w:val="center"/>
            </w:pPr>
            <w:r>
              <w:rPr>
                <w:sz w:val="18"/>
              </w:rPr>
              <w:t xml:space="preserve">Não houve melhora na resposta radiológica do tumor ou na </w:t>
            </w:r>
          </w:p>
          <w:p w:rsidR="0024131D" w:rsidRDefault="00F92A95">
            <w:pPr>
              <w:spacing w:after="0" w:line="259" w:lineRule="auto"/>
              <w:ind w:left="0" w:right="38" w:firstLine="0"/>
              <w:jc w:val="center"/>
            </w:pPr>
            <w:r>
              <w:rPr>
                <w:sz w:val="18"/>
              </w:rPr>
              <w:t xml:space="preserve">sobrevida </w:t>
            </w:r>
          </w:p>
        </w:tc>
        <w:tc>
          <w:tcPr>
            <w:tcW w:w="1863"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38" w:lineRule="auto"/>
              <w:ind w:left="0" w:right="0" w:firstLine="0"/>
              <w:jc w:val="center"/>
            </w:pPr>
            <w:r>
              <w:rPr>
                <w:sz w:val="18"/>
              </w:rPr>
              <w:t xml:space="preserve">Amostra pequena e o desenho de estudo ser </w:t>
            </w:r>
          </w:p>
          <w:p w:rsidR="0024131D" w:rsidRDefault="00F92A95">
            <w:pPr>
              <w:spacing w:after="0" w:line="259" w:lineRule="auto"/>
              <w:ind w:left="0" w:right="44" w:firstLine="0"/>
              <w:jc w:val="center"/>
            </w:pPr>
            <w:r>
              <w:rPr>
                <w:sz w:val="18"/>
              </w:rPr>
              <w:t xml:space="preserve">de fase II </w:t>
            </w:r>
          </w:p>
        </w:tc>
        <w:tc>
          <w:tcPr>
            <w:tcW w:w="2656" w:type="dxa"/>
            <w:tcBorders>
              <w:top w:val="single" w:sz="4" w:space="0" w:color="000000"/>
              <w:left w:val="single" w:sz="4" w:space="0" w:color="000000"/>
              <w:bottom w:val="single" w:sz="4" w:space="0" w:color="000000"/>
              <w:right w:val="single" w:sz="4" w:space="0" w:color="000000"/>
            </w:tcBorders>
          </w:tcPr>
          <w:p w:rsidR="0024131D" w:rsidRPr="00F92A95" w:rsidRDefault="00F92A95">
            <w:pPr>
              <w:spacing w:after="0" w:line="259" w:lineRule="auto"/>
              <w:ind w:left="0" w:right="40" w:firstLine="0"/>
              <w:jc w:val="center"/>
              <w:rPr>
                <w:lang w:val="en-US"/>
              </w:rPr>
            </w:pPr>
            <w:r w:rsidRPr="00F92A95">
              <w:rPr>
                <w:sz w:val="18"/>
                <w:lang w:val="en-US"/>
              </w:rPr>
              <w:t xml:space="preserve">JOURNAL OF VASCULAR </w:t>
            </w:r>
          </w:p>
          <w:p w:rsidR="0024131D" w:rsidRPr="00F92A95" w:rsidRDefault="00F92A95">
            <w:pPr>
              <w:spacing w:after="0" w:line="259" w:lineRule="auto"/>
              <w:ind w:left="0" w:right="0" w:firstLine="0"/>
              <w:jc w:val="center"/>
              <w:rPr>
                <w:lang w:val="en-US"/>
              </w:rPr>
            </w:pPr>
            <w:r w:rsidRPr="00F92A95">
              <w:rPr>
                <w:sz w:val="18"/>
                <w:lang w:val="en-US"/>
              </w:rPr>
              <w:t xml:space="preserve">AND INTERVENTIONAL RADIOLOGY </w:t>
            </w:r>
          </w:p>
        </w:tc>
      </w:tr>
      <w:tr w:rsidR="0024131D">
        <w:trPr>
          <w:trHeight w:val="720"/>
        </w:trPr>
        <w:tc>
          <w:tcPr>
            <w:tcW w:w="1859" w:type="dxa"/>
            <w:tcBorders>
              <w:top w:val="single" w:sz="4" w:space="0" w:color="000000"/>
              <w:left w:val="single" w:sz="4" w:space="0" w:color="000000"/>
              <w:bottom w:val="single" w:sz="4" w:space="0" w:color="000000"/>
              <w:right w:val="single" w:sz="4" w:space="0" w:color="000000"/>
            </w:tcBorders>
            <w:vAlign w:val="bottom"/>
          </w:tcPr>
          <w:p w:rsidR="0024131D" w:rsidRDefault="00F92A95">
            <w:pPr>
              <w:spacing w:after="0" w:line="259" w:lineRule="auto"/>
              <w:ind w:left="0" w:right="0" w:firstLine="0"/>
              <w:jc w:val="center"/>
            </w:pPr>
            <w:proofErr w:type="spellStart"/>
            <w:r>
              <w:t>Sansonno</w:t>
            </w:r>
            <w:proofErr w:type="spellEnd"/>
            <w:r>
              <w:t>, D et al</w:t>
            </w:r>
            <w:r>
              <w:rPr>
                <w:vertAlign w:val="superscript"/>
              </w:rPr>
              <w:t xml:space="preserve"> 18</w:t>
            </w:r>
            <w:r>
              <w:t xml:space="preserve">, (2012) </w:t>
            </w:r>
          </w:p>
        </w:tc>
        <w:tc>
          <w:tcPr>
            <w:tcW w:w="2811"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0" w:right="0" w:firstLine="0"/>
              <w:jc w:val="center"/>
            </w:pPr>
            <w:r>
              <w:rPr>
                <w:sz w:val="18"/>
              </w:rPr>
              <w:t xml:space="preserve">Houve aumento do Tempo de progressão no grupo intervenção </w:t>
            </w:r>
          </w:p>
        </w:tc>
        <w:tc>
          <w:tcPr>
            <w:tcW w:w="1863"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0" w:right="0" w:firstLine="0"/>
              <w:jc w:val="center"/>
            </w:pPr>
            <w:r>
              <w:rPr>
                <w:sz w:val="18"/>
              </w:rPr>
              <w:t xml:space="preserve">Amostra pequena e maior risco de viés pelo Rob2 </w:t>
            </w:r>
          </w:p>
        </w:tc>
        <w:tc>
          <w:tcPr>
            <w:tcW w:w="2656" w:type="dxa"/>
            <w:tcBorders>
              <w:top w:val="single" w:sz="4" w:space="0" w:color="000000"/>
              <w:left w:val="single" w:sz="4" w:space="0" w:color="000000"/>
              <w:bottom w:val="single" w:sz="4" w:space="0" w:color="000000"/>
              <w:right w:val="single" w:sz="4" w:space="0" w:color="000000"/>
            </w:tcBorders>
          </w:tcPr>
          <w:p w:rsidR="0024131D" w:rsidRDefault="00F92A95">
            <w:pPr>
              <w:spacing w:after="0" w:line="259" w:lineRule="auto"/>
              <w:ind w:left="0" w:right="46" w:firstLine="0"/>
              <w:jc w:val="center"/>
            </w:pPr>
            <w:r>
              <w:rPr>
                <w:sz w:val="18"/>
              </w:rPr>
              <w:t xml:space="preserve">THE ONCOLOGIST </w:t>
            </w:r>
          </w:p>
        </w:tc>
      </w:tr>
    </w:tbl>
    <w:p w:rsidR="0024131D" w:rsidRDefault="00F92A95">
      <w:pPr>
        <w:ind w:left="-5" w:right="48"/>
      </w:pPr>
      <w:r>
        <w:t xml:space="preserve">Legenda: GC: Grupo controle; GI: Grupo Intervenção; TTP: Time </w:t>
      </w:r>
      <w:proofErr w:type="spellStart"/>
      <w:r>
        <w:t>to</w:t>
      </w:r>
      <w:proofErr w:type="spellEnd"/>
      <w:r>
        <w:t xml:space="preserve"> </w:t>
      </w:r>
      <w:proofErr w:type="spellStart"/>
      <w:r>
        <w:t>Progression</w:t>
      </w:r>
      <w:proofErr w:type="spellEnd"/>
      <w:r>
        <w:t xml:space="preserve">/Tempo para progressão;  </w:t>
      </w:r>
    </w:p>
    <w:p w:rsidR="0024131D" w:rsidRDefault="00F92A95">
      <w:pPr>
        <w:spacing w:after="273" w:line="259" w:lineRule="auto"/>
        <w:ind w:left="0" w:right="0" w:firstLine="0"/>
        <w:jc w:val="left"/>
      </w:pPr>
      <w:r>
        <w:t xml:space="preserve"> </w:t>
      </w:r>
    </w:p>
    <w:p w:rsidR="0024131D" w:rsidRDefault="00F92A95">
      <w:pPr>
        <w:spacing w:after="273" w:line="259" w:lineRule="auto"/>
        <w:ind w:left="0" w:right="0" w:firstLine="0"/>
        <w:jc w:val="left"/>
      </w:pPr>
      <w:r>
        <w:t xml:space="preserve"> </w:t>
      </w:r>
    </w:p>
    <w:p w:rsidR="0024131D" w:rsidRDefault="00F92A95">
      <w:pPr>
        <w:spacing w:after="0" w:line="259" w:lineRule="auto"/>
        <w:ind w:left="0" w:right="0" w:firstLine="0"/>
        <w:jc w:val="left"/>
      </w:pPr>
      <w:r>
        <w:t xml:space="preserve"> </w:t>
      </w:r>
    </w:p>
    <w:p w:rsidR="0024131D" w:rsidRDefault="00F92A95">
      <w:pPr>
        <w:spacing w:after="295" w:line="259" w:lineRule="auto"/>
        <w:ind w:left="10" w:right="44"/>
        <w:jc w:val="right"/>
      </w:pPr>
      <w:r>
        <w:rPr>
          <w:sz w:val="20"/>
        </w:rPr>
        <w:t xml:space="preserve">25 </w:t>
      </w:r>
    </w:p>
    <w:p w:rsidR="0024131D" w:rsidRDefault="00F92A95">
      <w:pPr>
        <w:spacing w:after="276" w:line="259" w:lineRule="auto"/>
        <w:ind w:left="0" w:right="0" w:firstLine="0"/>
        <w:jc w:val="left"/>
      </w:pPr>
      <w:r>
        <w:t xml:space="preserve"> </w:t>
      </w:r>
    </w:p>
    <w:p w:rsidR="0024131D" w:rsidRDefault="00F92A95">
      <w:pPr>
        <w:pStyle w:val="Ttulo1"/>
        <w:ind w:left="370"/>
      </w:pPr>
      <w:bookmarkStart w:id="17" w:name="_Toc63871"/>
      <w:r>
        <w:lastRenderedPageBreak/>
        <w:t>6.</w:t>
      </w:r>
      <w:r>
        <w:rPr>
          <w:rFonts w:ascii="Arial" w:eastAsia="Arial" w:hAnsi="Arial" w:cs="Arial"/>
        </w:rPr>
        <w:t xml:space="preserve"> </w:t>
      </w:r>
      <w:r>
        <w:t xml:space="preserve">Discussão: </w:t>
      </w:r>
      <w:bookmarkEnd w:id="17"/>
    </w:p>
    <w:p w:rsidR="0024131D" w:rsidRDefault="00F92A95">
      <w:pPr>
        <w:ind w:left="-5" w:right="48"/>
      </w:pPr>
      <w:r>
        <w:t xml:space="preserve">Essa Revisão Sistemática foi importante para a comunidade científica, à medida que demonstrou </w:t>
      </w:r>
      <w:r>
        <w:t>que não houve uma eficácia no tratamento combinado de QT e QS, em comparação com o tratamento com apenas QT em pacientes com indicação de QT como tratamento de CHC, à medida que cinco artigos analisados foram negativos para o objetivo de estudo e apenas do</w:t>
      </w:r>
      <w:r>
        <w:t>is artigos tiveram resultado positivo. Os dois artigos positivos apresentaram algumas limitações na metodologia, à proporção que um deles apresentou um maior risco de viés (40%) através da análise do ROB2, se comparado aos demais, e o outro artigo era um e</w:t>
      </w:r>
      <w:r>
        <w:t>studo aberto, sem a presença de duplo cegamento do observador e do paciente, o que aumenta o risco de viés de análise desse artigo. Além disso, a amostra de um desses artigos continha apenas 80 pacientes, o que é uma amostra pequena, e que pode gerar um vi</w:t>
      </w:r>
      <w:r>
        <w:t xml:space="preserve">és na análise desses pacientes. </w:t>
      </w:r>
    </w:p>
    <w:p w:rsidR="0024131D" w:rsidRDefault="00F92A95">
      <w:pPr>
        <w:spacing w:after="273" w:line="259" w:lineRule="auto"/>
        <w:ind w:left="0" w:right="0" w:firstLine="0"/>
        <w:jc w:val="left"/>
      </w:pPr>
      <w:r>
        <w:t xml:space="preserve"> </w:t>
      </w:r>
    </w:p>
    <w:p w:rsidR="0024131D" w:rsidRDefault="00F92A95">
      <w:pPr>
        <w:ind w:left="-5" w:right="48"/>
      </w:pPr>
      <w:r>
        <w:t>Outros fatores limitantes nesse estudo foram que três artigos analisados continham uma amostra menor que 100 pacientes, podendo gerar erro tipo II na análise, mas também, quatro artigos analisados foram estudos exploratór</w:t>
      </w:r>
      <w:r>
        <w:t>ios de fase II, em contraponto aos outros três estudos, os quais são de fase III, e portanto, são mais seguros e robustos que os estudos de fase II. Além disso, as amostras utilizadas pelos ECR foram heterogêneas, visto que a maioria dos pacientes com indi</w:t>
      </w:r>
      <w:r>
        <w:t xml:space="preserve">cação para uso de QT apresentam CHC em estágio intermediário (BCLC B), como os artigos </w:t>
      </w:r>
      <w:proofErr w:type="spellStart"/>
      <w:r>
        <w:t>Kudo</w:t>
      </w:r>
      <w:proofErr w:type="spellEnd"/>
      <w:r>
        <w:t>, M- et al.</w:t>
      </w:r>
      <w:r>
        <w:rPr>
          <w:vertAlign w:val="superscript"/>
        </w:rPr>
        <w:t>16</w:t>
      </w:r>
      <w:r>
        <w:t xml:space="preserve"> (2014), </w:t>
      </w:r>
      <w:proofErr w:type="spellStart"/>
      <w:r>
        <w:t>Lencioni</w:t>
      </w:r>
      <w:proofErr w:type="spellEnd"/>
      <w:r>
        <w:t>, R- et al.</w:t>
      </w:r>
      <w:r>
        <w:rPr>
          <w:vertAlign w:val="superscript"/>
        </w:rPr>
        <w:t>13</w:t>
      </w:r>
      <w:r>
        <w:t xml:space="preserve">(2016) e </w:t>
      </w:r>
      <w:proofErr w:type="spellStart"/>
      <w:r>
        <w:t>Sansonno</w:t>
      </w:r>
      <w:proofErr w:type="spellEnd"/>
      <w:r>
        <w:t xml:space="preserve">, M- et al. </w:t>
      </w:r>
      <w:r>
        <w:rPr>
          <w:vertAlign w:val="superscript"/>
        </w:rPr>
        <w:t>18</w:t>
      </w:r>
      <w:r>
        <w:t xml:space="preserve"> (2012). Porém, pacientes em estágio inicial (BCLC A) e com indicação de transplante hepáti</w:t>
      </w:r>
      <w:r>
        <w:t xml:space="preserve">co, podem se beneficiar da realização de QT antes do transplante, para tentar retardar o avanço do tumor e garantir que o paciente continue na lista de transplante </w:t>
      </w:r>
      <w:r>
        <w:rPr>
          <w:vertAlign w:val="superscript"/>
        </w:rPr>
        <w:t>20</w:t>
      </w:r>
      <w:r>
        <w:t>, como a amostra utilizada no artigo Hoffmann, K et al.</w:t>
      </w:r>
      <w:r>
        <w:rPr>
          <w:vertAlign w:val="superscript"/>
        </w:rPr>
        <w:t>12</w:t>
      </w:r>
      <w:r>
        <w:t xml:space="preserve"> (2015). Ademais, no artigo Pinte</w:t>
      </w:r>
      <w:r>
        <w:t>r, M- et al.</w:t>
      </w:r>
      <w:r>
        <w:rPr>
          <w:vertAlign w:val="superscript"/>
        </w:rPr>
        <w:t>15</w:t>
      </w:r>
      <w:r>
        <w:t xml:space="preserve"> (2015), os pacientes selecionados poderiam apresentar CHC em estágio intermediário (BCLC B) ou inicial (BCLC A) com indicação de QT, e nos artigos </w:t>
      </w:r>
      <w:proofErr w:type="spellStart"/>
      <w:r>
        <w:t>Kudo</w:t>
      </w:r>
      <w:proofErr w:type="spellEnd"/>
      <w:r>
        <w:t>, M- et al.</w:t>
      </w:r>
      <w:r>
        <w:rPr>
          <w:vertAlign w:val="superscript"/>
        </w:rPr>
        <w:t xml:space="preserve">17 </w:t>
      </w:r>
      <w:r>
        <w:t>(2022), Meyer, T- et al.</w:t>
      </w:r>
      <w:r>
        <w:rPr>
          <w:vertAlign w:val="superscript"/>
        </w:rPr>
        <w:t>14</w:t>
      </w:r>
      <w:r>
        <w:t>(2017), a indicação para o uso de QT, era a presen</w:t>
      </w:r>
      <w:r>
        <w:t xml:space="preserve">ça de CHC </w:t>
      </w:r>
      <w:proofErr w:type="spellStart"/>
      <w:r>
        <w:t>irresecável</w:t>
      </w:r>
      <w:proofErr w:type="spellEnd"/>
      <w:r>
        <w:t xml:space="preserve">. Concluindo, assim, que os pacientes que participaram dos estudos, apesar de apresentarem indicação para a realização da QT, poderiam apresentar tumores com características diferentes. </w:t>
      </w:r>
    </w:p>
    <w:p w:rsidR="0024131D" w:rsidRDefault="00F92A95">
      <w:pPr>
        <w:spacing w:after="0" w:line="259" w:lineRule="auto"/>
        <w:ind w:left="0" w:right="0" w:firstLine="0"/>
        <w:jc w:val="left"/>
      </w:pPr>
      <w:r>
        <w:t xml:space="preserve"> </w:t>
      </w:r>
    </w:p>
    <w:p w:rsidR="0024131D" w:rsidRDefault="00F92A95">
      <w:pPr>
        <w:ind w:left="-5" w:right="48"/>
      </w:pPr>
      <w:r>
        <w:t>A QT age localmente, através da embolização de</w:t>
      </w:r>
      <w:r>
        <w:t xml:space="preserve"> artérias hepáticas que nutrem o tumor, e assim, geram a necrose tumoral. Dessa forma, há uma hipóxia tumoral, que estimula o fator de crescimento endotelial vascular (VEGF), o qual pode causar a revascularização local. Em </w:t>
      </w:r>
      <w:r>
        <w:lastRenderedPageBreak/>
        <w:t xml:space="preserve">contrapartida, sabe-se que o </w:t>
      </w:r>
      <w:proofErr w:type="spellStart"/>
      <w:r>
        <w:t>sora</w:t>
      </w:r>
      <w:r>
        <w:t>fenib</w:t>
      </w:r>
      <w:proofErr w:type="spellEnd"/>
      <w:r>
        <w:t>, principal droga sistêmica utilizada na QS, inibe o fator de crescimento endotelial vascular</w:t>
      </w:r>
      <w:r>
        <w:rPr>
          <w:vertAlign w:val="superscript"/>
        </w:rPr>
        <w:t>20</w:t>
      </w:r>
      <w:r>
        <w:t xml:space="preserve">. Desse modo, em teoria, o uso combinado de QT e </w:t>
      </w:r>
      <w:proofErr w:type="spellStart"/>
      <w:r>
        <w:t>Sorafenib</w:t>
      </w:r>
      <w:proofErr w:type="spellEnd"/>
      <w:r>
        <w:t xml:space="preserve">, presente em cinco artigos dessa RS, microscopicamente deveria levar a uma ação </w:t>
      </w:r>
      <w:proofErr w:type="spellStart"/>
      <w:r>
        <w:t>anti-tumoral</w:t>
      </w:r>
      <w:proofErr w:type="spellEnd"/>
      <w:r>
        <w:t>, à m</w:t>
      </w:r>
      <w:r>
        <w:t xml:space="preserve">edida que o </w:t>
      </w:r>
      <w:proofErr w:type="spellStart"/>
      <w:r>
        <w:t>Sorafenib</w:t>
      </w:r>
      <w:proofErr w:type="spellEnd"/>
      <w:r>
        <w:t xml:space="preserve"> inibiria o VEGF e a revascularização do tumor, causada pela QT. Porém, na prática, esse mecanismo teórico não foi observado, à proporção que, como foi demonstrado nos ECR analisados, o tratamento combinado não apresentou benefícios ao</w:t>
      </w:r>
      <w:r>
        <w:t>s pacientes com CHC, e, como não houve diferença na sobrevida e aumento no tempo de progressão do tumor de pacientes que fizeram uso apenas de QT e de pacientes que usaram a terapia combinada, não se deve expor o paciente com um câncer agressivo e que já é</w:t>
      </w:r>
      <w:r>
        <w:t xml:space="preserve"> exposto a uma terapia de QT, a uma segunda terapia que não vai trazer benefícios na prática, mas poderia trazer malefícios. </w:t>
      </w:r>
    </w:p>
    <w:p w:rsidR="0024131D" w:rsidRDefault="00F92A95">
      <w:pPr>
        <w:spacing w:after="273" w:line="259" w:lineRule="auto"/>
        <w:ind w:left="0" w:right="0" w:firstLine="0"/>
        <w:jc w:val="left"/>
      </w:pPr>
      <w:r>
        <w:t xml:space="preserve"> </w:t>
      </w:r>
    </w:p>
    <w:p w:rsidR="0024131D" w:rsidRDefault="00F92A95">
      <w:pPr>
        <w:ind w:left="-5" w:right="48"/>
      </w:pPr>
      <w:r>
        <w:t>Além disso, sabe-se que o CHC é subdividido em 5 grupos de acordo com a classificação de Barcelona (BCLC 0, BCLC A, BCLC B, BCLC</w:t>
      </w:r>
      <w:r>
        <w:t xml:space="preserve"> C e BCLC D)</w:t>
      </w:r>
      <w:r>
        <w:rPr>
          <w:vertAlign w:val="superscript"/>
        </w:rPr>
        <w:t>3</w:t>
      </w:r>
      <w:r>
        <w:t>. Dentro dessa divisão, o subgrupo BCLC B engloba tumores heterogêneos, em que em teoria, um paciente pode apresentar 2 nódulos, nos quais um deles possui 4 cm de comprimento ou 10 nódulos, sem invasão intravascular ou metástase extra-hepática</w:t>
      </w:r>
      <w:r>
        <w:t>, e com função hepática preservada, cujo tratamento será o mesmo. Dentro disso, como não foram observados nesse estudo diferenças na sobrevida e no tempo de progressão do tumor de pacientes que fizeram uso da terapia combinada e de pacientes que usaram ape</w:t>
      </w:r>
      <w:r>
        <w:t>nas QT, espera-se que haja uma maior abertura desse leque de classificação de Barcelona, com novas subdivisões, a partir das quais, a terapia combinada, a partir de estudos mais robustos de fase III e com a metodologia bem desenhada, poderia trazer benefíc</w:t>
      </w:r>
      <w:r>
        <w:t xml:space="preserve">ios em algum desses subgrupos mais específicos, visto que as características dos tumores preconizados pela classificação de Barcelona, mas também presentes nos ECR analisados, foram heterogêneas. </w:t>
      </w:r>
    </w:p>
    <w:p w:rsidR="0024131D" w:rsidRDefault="00F92A95">
      <w:pPr>
        <w:spacing w:after="273" w:line="259" w:lineRule="auto"/>
        <w:ind w:left="0" w:right="0" w:firstLine="0"/>
        <w:jc w:val="left"/>
      </w:pPr>
      <w:r>
        <w:t xml:space="preserve"> </w:t>
      </w:r>
    </w:p>
    <w:p w:rsidR="0024131D" w:rsidRDefault="00F92A95">
      <w:pPr>
        <w:ind w:left="-5" w:right="48"/>
      </w:pPr>
      <w:r>
        <w:t>Novas perspectivas têm sido traçadas no âmbito da terapia</w:t>
      </w:r>
      <w:r>
        <w:t xml:space="preserve"> sistêmica com o uso de </w:t>
      </w:r>
      <w:proofErr w:type="spellStart"/>
      <w:r>
        <w:t>imunoterápicos</w:t>
      </w:r>
      <w:proofErr w:type="spellEnd"/>
      <w:r>
        <w:t xml:space="preserve"> biológicos, à medida que o fígado é tolerante </w:t>
      </w:r>
      <w:proofErr w:type="spellStart"/>
      <w:r>
        <w:t>imunobiologicamente</w:t>
      </w:r>
      <w:proofErr w:type="spellEnd"/>
      <w:r>
        <w:t xml:space="preserve"> e o uso dessas drogas </w:t>
      </w:r>
      <w:proofErr w:type="spellStart"/>
      <w:r>
        <w:t>imunoterápicas</w:t>
      </w:r>
      <w:proofErr w:type="spellEnd"/>
      <w:r>
        <w:t>, estimulam a criação de um ambiente hepático microscópico antitumoral, através do bloqueio da ligação de proteínas</w:t>
      </w:r>
      <w:r>
        <w:t xml:space="preserve"> que funcionam como pontos de checagem com seus ligantes específicos, e dessa forma, apresentam uma ação contra o </w:t>
      </w:r>
      <w:r>
        <w:lastRenderedPageBreak/>
        <w:t>desenvolvimento do tumor</w:t>
      </w:r>
      <w:r>
        <w:rPr>
          <w:vertAlign w:val="superscript"/>
        </w:rPr>
        <w:t>8</w:t>
      </w:r>
      <w:r>
        <w:t xml:space="preserve">. Dessa maneira, acredita-se que o uso de terapias combinadas de </w:t>
      </w:r>
      <w:proofErr w:type="spellStart"/>
      <w:r>
        <w:t>imunoterápicos</w:t>
      </w:r>
      <w:proofErr w:type="spellEnd"/>
      <w:r>
        <w:t xml:space="preserve"> biológicos como QS e QT, pode trazer </w:t>
      </w:r>
      <w:r>
        <w:t>benefícios aos pacientes com indicação para QT. Portanto, mais estudos devem ser realizados com essa amostra de pacientes, a fim de buscar novas opções de terapias para o CHC e assim, uma maior sobrevida e qualidade de vida aos pacientes acometidos por est</w:t>
      </w:r>
      <w:r>
        <w:t xml:space="preserve">e tumor. </w:t>
      </w:r>
    </w:p>
    <w:p w:rsidR="0024131D" w:rsidRDefault="00F92A95">
      <w:pPr>
        <w:spacing w:after="276" w:line="259" w:lineRule="auto"/>
        <w:ind w:left="0" w:right="0" w:firstLine="0"/>
        <w:jc w:val="left"/>
      </w:pPr>
      <w:r>
        <w:t xml:space="preserve"> </w:t>
      </w:r>
    </w:p>
    <w:p w:rsidR="0024131D" w:rsidRDefault="00F92A95">
      <w:pPr>
        <w:pStyle w:val="Ttulo1"/>
        <w:ind w:left="370"/>
      </w:pPr>
      <w:bookmarkStart w:id="18" w:name="_Toc63872"/>
      <w:r>
        <w:t>7.</w:t>
      </w:r>
      <w:r>
        <w:rPr>
          <w:rFonts w:ascii="Arial" w:eastAsia="Arial" w:hAnsi="Arial" w:cs="Arial"/>
        </w:rPr>
        <w:t xml:space="preserve"> </w:t>
      </w:r>
      <w:r>
        <w:t xml:space="preserve">Conclusão: </w:t>
      </w:r>
      <w:bookmarkEnd w:id="18"/>
    </w:p>
    <w:p w:rsidR="0024131D" w:rsidRDefault="00F92A95">
      <w:pPr>
        <w:spacing w:after="273" w:line="259" w:lineRule="auto"/>
        <w:ind w:left="0" w:right="0" w:firstLine="0"/>
        <w:jc w:val="left"/>
      </w:pPr>
      <w:r>
        <w:t xml:space="preserve"> </w:t>
      </w:r>
    </w:p>
    <w:p w:rsidR="0024131D" w:rsidRDefault="00F92A95">
      <w:pPr>
        <w:ind w:left="-5" w:right="48"/>
      </w:pPr>
      <w:r>
        <w:t>Portanto, observa-se que o tratamento combinado de QT e QS em pacientes com indicação de QT como tratamento de CHC, não demonstrou benefício em relação ao tratamento com QT, à proporção que não foi observada uma margem de difer</w:t>
      </w:r>
      <w:r>
        <w:t xml:space="preserve">ença entre a sobrevida dos pacientes que fizeram uso dos dois tipos de tratamento. Dessa forma, o tratamento combinado não deve ser realizado nesses pacientes. </w:t>
      </w:r>
    </w:p>
    <w:p w:rsidR="0024131D" w:rsidRDefault="00F92A95">
      <w:pPr>
        <w:spacing w:after="273" w:line="259" w:lineRule="auto"/>
        <w:ind w:left="0" w:right="0" w:firstLine="0"/>
        <w:jc w:val="left"/>
      </w:pPr>
      <w:r>
        <w:t xml:space="preserve"> </w:t>
      </w:r>
    </w:p>
    <w:p w:rsidR="0024131D" w:rsidRDefault="00F92A95">
      <w:pPr>
        <w:ind w:left="-5" w:right="48"/>
      </w:pPr>
      <w:r>
        <w:t>Esse trabalho foi importante para a comunidade científica, à medida que, apesar dos fatores l</w:t>
      </w:r>
      <w:r>
        <w:t xml:space="preserve">imitantes, demonstrou que não se deve realizar a terapia combinada em pacientes com indicação com QT, e deve-se poupar esses pacientes de serem expostos a uma segunda terapia sem necessidade. Dessa maneira, mais estudos devem ser desenvolvidos nessa área, </w:t>
      </w:r>
      <w:r>
        <w:t xml:space="preserve">especialmente com terapias sistêmicas utilizando drogas </w:t>
      </w:r>
      <w:proofErr w:type="spellStart"/>
      <w:r>
        <w:t>imunoterápicas</w:t>
      </w:r>
      <w:proofErr w:type="spellEnd"/>
      <w:r>
        <w:t xml:space="preserve">, para buscar uma maior opção de terapias que possam principalmente, aumentar a sobrevida de pacientes com CHC. </w:t>
      </w:r>
    </w:p>
    <w:p w:rsidR="0024131D" w:rsidRDefault="00F92A95">
      <w:pPr>
        <w:spacing w:after="273" w:line="259" w:lineRule="auto"/>
        <w:ind w:left="0" w:right="0" w:firstLine="0"/>
        <w:jc w:val="left"/>
      </w:pPr>
      <w:r>
        <w:t xml:space="preserve"> </w:t>
      </w:r>
    </w:p>
    <w:p w:rsidR="0024131D" w:rsidRDefault="00F92A95">
      <w:pPr>
        <w:spacing w:after="273" w:line="259" w:lineRule="auto"/>
        <w:ind w:left="641" w:right="0" w:firstLine="0"/>
        <w:jc w:val="left"/>
      </w:pPr>
      <w:r>
        <w:t xml:space="preserve"> </w:t>
      </w:r>
    </w:p>
    <w:p w:rsidR="0024131D" w:rsidRDefault="00F92A95">
      <w:pPr>
        <w:spacing w:after="273" w:line="259" w:lineRule="auto"/>
        <w:ind w:left="641" w:right="0" w:firstLine="0"/>
        <w:jc w:val="left"/>
      </w:pPr>
      <w:r>
        <w:t xml:space="preserve"> </w:t>
      </w:r>
    </w:p>
    <w:p w:rsidR="0024131D" w:rsidRDefault="00F92A95">
      <w:pPr>
        <w:spacing w:after="0" w:line="259" w:lineRule="auto"/>
        <w:ind w:left="1280" w:right="0" w:firstLine="0"/>
        <w:jc w:val="left"/>
      </w:pPr>
      <w:r>
        <w:t xml:space="preserve"> </w:t>
      </w:r>
    </w:p>
    <w:p w:rsidR="0024131D" w:rsidRDefault="00F92A95">
      <w:pPr>
        <w:spacing w:after="276" w:line="259" w:lineRule="auto"/>
        <w:ind w:left="588" w:right="0"/>
        <w:jc w:val="center"/>
      </w:pPr>
      <w:r>
        <w:rPr>
          <w:b/>
        </w:rPr>
        <w:t xml:space="preserve">Referências: </w:t>
      </w:r>
    </w:p>
    <w:p w:rsidR="0024131D" w:rsidRPr="00F92A95" w:rsidRDefault="00F92A95">
      <w:pPr>
        <w:numPr>
          <w:ilvl w:val="0"/>
          <w:numId w:val="1"/>
        </w:numPr>
        <w:spacing w:after="158" w:line="240" w:lineRule="auto"/>
        <w:ind w:right="58" w:hanging="646"/>
        <w:jc w:val="left"/>
        <w:rPr>
          <w:lang w:val="en-US"/>
        </w:rPr>
      </w:pPr>
      <w:proofErr w:type="spellStart"/>
      <w:r>
        <w:t>Sung</w:t>
      </w:r>
      <w:proofErr w:type="spellEnd"/>
      <w:r>
        <w:t xml:space="preserve"> H, </w:t>
      </w:r>
      <w:proofErr w:type="spellStart"/>
      <w:r>
        <w:t>Ferlay</w:t>
      </w:r>
      <w:proofErr w:type="spellEnd"/>
      <w:r>
        <w:t xml:space="preserve"> J, </w:t>
      </w:r>
      <w:proofErr w:type="spellStart"/>
      <w:r>
        <w:t>Siegel</w:t>
      </w:r>
      <w:proofErr w:type="spellEnd"/>
      <w:r>
        <w:t xml:space="preserve"> RL, </w:t>
      </w:r>
      <w:proofErr w:type="spellStart"/>
      <w:r>
        <w:t>Laversanne</w:t>
      </w:r>
      <w:proofErr w:type="spellEnd"/>
      <w:r>
        <w:t xml:space="preserve"> M, </w:t>
      </w:r>
      <w:proofErr w:type="spellStart"/>
      <w:r>
        <w:t>Soerjomataram</w:t>
      </w:r>
      <w:proofErr w:type="spellEnd"/>
      <w:r>
        <w:t xml:space="preserve"> I, </w:t>
      </w:r>
      <w:proofErr w:type="spellStart"/>
      <w:r>
        <w:t>Jemal</w:t>
      </w:r>
      <w:proofErr w:type="spellEnd"/>
      <w:r>
        <w:t xml:space="preserve"> A, et al. Global </w:t>
      </w:r>
      <w:proofErr w:type="spellStart"/>
      <w:r>
        <w:t>Cancer</w:t>
      </w:r>
      <w:proofErr w:type="spellEnd"/>
      <w:r>
        <w:t xml:space="preserve"> </w:t>
      </w:r>
      <w:proofErr w:type="spellStart"/>
      <w:r>
        <w:t>Statistics</w:t>
      </w:r>
      <w:proofErr w:type="spellEnd"/>
      <w:r>
        <w:t xml:space="preserve"> 2020: GLOBOCAN </w:t>
      </w:r>
      <w:proofErr w:type="spellStart"/>
      <w:r>
        <w:t>Estimates</w:t>
      </w:r>
      <w:proofErr w:type="spellEnd"/>
      <w:r>
        <w:t xml:space="preserve"> </w:t>
      </w:r>
      <w:proofErr w:type="spellStart"/>
      <w:r>
        <w:t>of</w:t>
      </w:r>
      <w:proofErr w:type="spellEnd"/>
      <w:r>
        <w:t xml:space="preserve"> </w:t>
      </w:r>
      <w:proofErr w:type="spellStart"/>
      <w:r>
        <w:t>Incidence</w:t>
      </w:r>
      <w:proofErr w:type="spellEnd"/>
      <w:r>
        <w:t xml:space="preserve"> </w:t>
      </w:r>
      <w:proofErr w:type="spellStart"/>
      <w:r>
        <w:t>and</w:t>
      </w:r>
      <w:proofErr w:type="spellEnd"/>
      <w:r>
        <w:t xml:space="preserve"> </w:t>
      </w:r>
      <w:proofErr w:type="spellStart"/>
      <w:r>
        <w:t>Mortality</w:t>
      </w:r>
      <w:proofErr w:type="spellEnd"/>
      <w:r>
        <w:t xml:space="preserve"> </w:t>
      </w:r>
      <w:proofErr w:type="spellStart"/>
      <w:r>
        <w:t>Worldwide</w:t>
      </w:r>
      <w:proofErr w:type="spellEnd"/>
      <w:r>
        <w:t xml:space="preserve"> for 36 </w:t>
      </w:r>
      <w:proofErr w:type="spellStart"/>
      <w:r>
        <w:t>Cancers</w:t>
      </w:r>
      <w:proofErr w:type="spellEnd"/>
      <w:r>
        <w:t xml:space="preserve"> in 185 Countries. </w:t>
      </w:r>
      <w:r w:rsidRPr="00F92A95">
        <w:rPr>
          <w:lang w:val="en-US"/>
        </w:rPr>
        <w:t>CA Cancer J Clin. [Internet] 2021 May Cited [2022 may 07];71</w:t>
      </w:r>
      <w:r w:rsidRPr="00F92A95">
        <w:rPr>
          <w:lang w:val="en-US"/>
        </w:rPr>
        <w:t xml:space="preserve">(3):209–49. Available from: [https://pubmed.ncbi.nlm.nih.gov/33538338/]. </w:t>
      </w:r>
    </w:p>
    <w:p w:rsidR="0024131D" w:rsidRPr="00F92A95" w:rsidRDefault="00F92A95">
      <w:pPr>
        <w:spacing w:after="140" w:line="259" w:lineRule="auto"/>
        <w:ind w:left="641" w:right="0" w:firstLine="0"/>
        <w:jc w:val="left"/>
        <w:rPr>
          <w:lang w:val="en-US"/>
        </w:rPr>
      </w:pPr>
      <w:r w:rsidRPr="00F92A95">
        <w:rPr>
          <w:lang w:val="en-US"/>
        </w:rPr>
        <w:lastRenderedPageBreak/>
        <w:t xml:space="preserve"> </w:t>
      </w:r>
    </w:p>
    <w:p w:rsidR="0024131D" w:rsidRPr="00F92A95" w:rsidRDefault="00F92A95">
      <w:pPr>
        <w:numPr>
          <w:ilvl w:val="0"/>
          <w:numId w:val="1"/>
        </w:numPr>
        <w:spacing w:after="158" w:line="240" w:lineRule="auto"/>
        <w:ind w:right="58" w:hanging="646"/>
        <w:jc w:val="left"/>
        <w:rPr>
          <w:lang w:val="en-US"/>
        </w:rPr>
      </w:pPr>
      <w:proofErr w:type="spellStart"/>
      <w:r w:rsidRPr="00F92A95">
        <w:rPr>
          <w:lang w:val="en-US"/>
        </w:rPr>
        <w:t>Forner</w:t>
      </w:r>
      <w:proofErr w:type="spellEnd"/>
      <w:r w:rsidRPr="00F92A95">
        <w:rPr>
          <w:lang w:val="en-US"/>
        </w:rPr>
        <w:t xml:space="preserve"> A, </w:t>
      </w:r>
      <w:proofErr w:type="spellStart"/>
      <w:r w:rsidRPr="00F92A95">
        <w:rPr>
          <w:lang w:val="en-US"/>
        </w:rPr>
        <w:t>Reig</w:t>
      </w:r>
      <w:proofErr w:type="spellEnd"/>
      <w:r w:rsidRPr="00F92A95">
        <w:rPr>
          <w:lang w:val="en-US"/>
        </w:rPr>
        <w:t xml:space="preserve"> M, </w:t>
      </w:r>
      <w:proofErr w:type="spellStart"/>
      <w:r w:rsidRPr="00F92A95">
        <w:rPr>
          <w:lang w:val="en-US"/>
        </w:rPr>
        <w:t>Bruix</w:t>
      </w:r>
      <w:proofErr w:type="spellEnd"/>
      <w:r w:rsidRPr="00F92A95">
        <w:rPr>
          <w:lang w:val="en-US"/>
        </w:rPr>
        <w:t xml:space="preserve"> J. Hepatocellular carcinoma. Vol. 391, The Lancet. Lancet Publishing Group [Internet]; 2018. Cited [2022 may 07] p. 1301–14. Available from: [https://www.th</w:t>
      </w:r>
      <w:r w:rsidRPr="00F92A95">
        <w:rPr>
          <w:lang w:val="en-US"/>
        </w:rPr>
        <w:t xml:space="preserve">elancet.com/journals/lancet/article/PIIS0140-6736(18)300102/fulltext]. </w:t>
      </w:r>
    </w:p>
    <w:p w:rsidR="0024131D" w:rsidRPr="00F92A95" w:rsidRDefault="00F92A95">
      <w:pPr>
        <w:spacing w:after="137" w:line="259" w:lineRule="auto"/>
        <w:ind w:left="641" w:right="0" w:firstLine="0"/>
        <w:jc w:val="left"/>
        <w:rPr>
          <w:lang w:val="en-US"/>
        </w:rPr>
      </w:pPr>
      <w:r w:rsidRPr="00F92A95">
        <w:rPr>
          <w:lang w:val="en-US"/>
        </w:rPr>
        <w:t xml:space="preserve"> </w:t>
      </w:r>
    </w:p>
    <w:p w:rsidR="0024131D" w:rsidRPr="00F92A95" w:rsidRDefault="00F92A95">
      <w:pPr>
        <w:numPr>
          <w:ilvl w:val="0"/>
          <w:numId w:val="1"/>
        </w:numPr>
        <w:spacing w:after="158" w:line="240" w:lineRule="auto"/>
        <w:ind w:right="58" w:hanging="646"/>
        <w:jc w:val="left"/>
        <w:rPr>
          <w:lang w:val="en-US"/>
        </w:rPr>
      </w:pPr>
      <w:proofErr w:type="spellStart"/>
      <w:r>
        <w:t>Villanueva</w:t>
      </w:r>
      <w:proofErr w:type="spellEnd"/>
      <w:r>
        <w:t xml:space="preserve"> A. </w:t>
      </w:r>
      <w:proofErr w:type="spellStart"/>
      <w:r>
        <w:t>Hepatocellular</w:t>
      </w:r>
      <w:proofErr w:type="spellEnd"/>
      <w:r>
        <w:t xml:space="preserve"> Carcinoma. Longo DL, editor. </w:t>
      </w:r>
      <w:r w:rsidRPr="00F92A95">
        <w:rPr>
          <w:lang w:val="en-US"/>
        </w:rPr>
        <w:t>New England Journal of Medicine [Internet]. 2019 Apr 11. Cited [2022 may 09];380(15):1450–62. Available from: [http://www.ne</w:t>
      </w:r>
      <w:r w:rsidRPr="00F92A95">
        <w:rPr>
          <w:lang w:val="en-US"/>
        </w:rPr>
        <w:t xml:space="preserve">jm.org/doi/10.1056/NEJMra1713263]. </w:t>
      </w:r>
    </w:p>
    <w:p w:rsidR="0024131D" w:rsidRPr="00F92A95" w:rsidRDefault="00F92A95">
      <w:pPr>
        <w:spacing w:after="137" w:line="259" w:lineRule="auto"/>
        <w:ind w:left="0" w:right="0" w:firstLine="0"/>
        <w:jc w:val="left"/>
        <w:rPr>
          <w:lang w:val="en-US"/>
        </w:rPr>
      </w:pPr>
      <w:r w:rsidRPr="00F92A95">
        <w:rPr>
          <w:lang w:val="en-US"/>
        </w:rPr>
        <w:t xml:space="preserve"> </w:t>
      </w:r>
    </w:p>
    <w:p w:rsidR="0024131D" w:rsidRPr="00F92A95" w:rsidRDefault="00F92A95">
      <w:pPr>
        <w:numPr>
          <w:ilvl w:val="0"/>
          <w:numId w:val="1"/>
        </w:numPr>
        <w:spacing w:after="1" w:line="240" w:lineRule="auto"/>
        <w:ind w:right="58" w:hanging="646"/>
        <w:jc w:val="left"/>
        <w:rPr>
          <w:lang w:val="en-US"/>
        </w:rPr>
      </w:pPr>
      <w:r w:rsidRPr="00F92A95">
        <w:rPr>
          <w:lang w:val="en-US"/>
        </w:rPr>
        <w:t xml:space="preserve">Kim E, </w:t>
      </w:r>
      <w:proofErr w:type="spellStart"/>
      <w:r w:rsidRPr="00F92A95">
        <w:rPr>
          <w:lang w:val="en-US"/>
        </w:rPr>
        <w:t>Viatour</w:t>
      </w:r>
      <w:proofErr w:type="spellEnd"/>
      <w:r w:rsidRPr="00F92A95">
        <w:rPr>
          <w:lang w:val="en-US"/>
        </w:rPr>
        <w:t xml:space="preserve"> P. Hepatocellular carcinoma: old friends and new tricks. Exp Mol Med [Internet]. 2020 Cited [2022 </w:t>
      </w:r>
      <w:proofErr w:type="gramStart"/>
      <w:r w:rsidRPr="00F92A95">
        <w:rPr>
          <w:lang w:val="en-US"/>
        </w:rPr>
        <w:t>may  09</w:t>
      </w:r>
      <w:proofErr w:type="gramEnd"/>
      <w:r w:rsidRPr="00F92A95">
        <w:rPr>
          <w:lang w:val="en-US"/>
        </w:rPr>
        <w:t xml:space="preserve">];52:1898–907. Available from: [https://doi.org/10.1038/s12276-020-00527-1]. </w:t>
      </w:r>
    </w:p>
    <w:p w:rsidR="0024131D" w:rsidRPr="00F92A95" w:rsidRDefault="00F92A95">
      <w:pPr>
        <w:spacing w:after="136" w:line="259" w:lineRule="auto"/>
        <w:ind w:left="646" w:right="0" w:firstLine="0"/>
        <w:jc w:val="left"/>
        <w:rPr>
          <w:lang w:val="en-US"/>
        </w:rPr>
      </w:pPr>
      <w:r w:rsidRPr="00F92A95">
        <w:rPr>
          <w:lang w:val="en-US"/>
        </w:rPr>
        <w:t xml:space="preserve"> </w:t>
      </w:r>
    </w:p>
    <w:p w:rsidR="0024131D" w:rsidRPr="00F92A95" w:rsidRDefault="00F92A95">
      <w:pPr>
        <w:numPr>
          <w:ilvl w:val="0"/>
          <w:numId w:val="1"/>
        </w:numPr>
        <w:spacing w:after="158" w:line="240" w:lineRule="auto"/>
        <w:ind w:right="58" w:hanging="646"/>
        <w:jc w:val="left"/>
        <w:rPr>
          <w:lang w:val="en-US"/>
        </w:rPr>
      </w:pPr>
      <w:r>
        <w:t xml:space="preserve">Minha Biblioteca: Clínica Médica, Volume 4: Doenças do Aparelho Digestivo, Nutrição e Doenças Nutricionais [Internet]. </w:t>
      </w:r>
      <w:r w:rsidRPr="00F92A95">
        <w:rPr>
          <w:lang w:val="en-US"/>
        </w:rPr>
        <w:t xml:space="preserve">[cited 2022 September 29]. Available from: [https://integrada.minhabiblioteca.com.br/reader/books/9788520447741/pageid/525]. </w:t>
      </w:r>
    </w:p>
    <w:p w:rsidR="0024131D" w:rsidRPr="00F92A95" w:rsidRDefault="00F92A95">
      <w:pPr>
        <w:spacing w:after="134" w:line="259" w:lineRule="auto"/>
        <w:ind w:left="0" w:right="0" w:firstLine="0"/>
        <w:jc w:val="left"/>
        <w:rPr>
          <w:lang w:val="en-US"/>
        </w:rPr>
      </w:pPr>
      <w:r w:rsidRPr="00F92A95">
        <w:rPr>
          <w:lang w:val="en-US"/>
        </w:rPr>
        <w:t xml:space="preserve"> </w:t>
      </w:r>
    </w:p>
    <w:p w:rsidR="0024131D" w:rsidRPr="00F92A95" w:rsidRDefault="00F92A95">
      <w:pPr>
        <w:numPr>
          <w:ilvl w:val="0"/>
          <w:numId w:val="1"/>
        </w:numPr>
        <w:spacing w:after="158" w:line="240" w:lineRule="auto"/>
        <w:ind w:right="58" w:hanging="646"/>
        <w:jc w:val="left"/>
        <w:rPr>
          <w:lang w:val="en-US"/>
        </w:rPr>
      </w:pPr>
      <w:r w:rsidRPr="00F92A95">
        <w:rPr>
          <w:lang w:val="en-US"/>
        </w:rPr>
        <w:t xml:space="preserve">Chang Y, </w:t>
      </w:r>
      <w:proofErr w:type="spellStart"/>
      <w:r w:rsidRPr="00F92A95">
        <w:rPr>
          <w:lang w:val="en-US"/>
        </w:rPr>
        <w:t>Jeong</w:t>
      </w:r>
      <w:proofErr w:type="spellEnd"/>
      <w:r w:rsidRPr="00F92A95">
        <w:rPr>
          <w:lang w:val="en-US"/>
        </w:rPr>
        <w:t xml:space="preserve"> SW, Jang JY, Kim YJ. Molecular Sciences Recent Updates of </w:t>
      </w:r>
      <w:proofErr w:type="spellStart"/>
      <w:r w:rsidRPr="00F92A95">
        <w:rPr>
          <w:lang w:val="en-US"/>
        </w:rPr>
        <w:t>Transarterial</w:t>
      </w:r>
      <w:proofErr w:type="spellEnd"/>
      <w:r w:rsidRPr="00F92A95">
        <w:rPr>
          <w:lang w:val="en-US"/>
        </w:rPr>
        <w:t xml:space="preserve"> </w:t>
      </w:r>
      <w:proofErr w:type="spellStart"/>
      <w:r w:rsidRPr="00F92A95">
        <w:rPr>
          <w:lang w:val="en-US"/>
        </w:rPr>
        <w:t>Chemoembolilzation</w:t>
      </w:r>
      <w:proofErr w:type="spellEnd"/>
      <w:r w:rsidRPr="00F92A95">
        <w:rPr>
          <w:lang w:val="en-US"/>
        </w:rPr>
        <w:t xml:space="preserve"> in Hepatocellular Carcinoma. [Internet]. [cited 2022 September 29]. Available from: [www.mdpi.com/journal/ijms]. </w:t>
      </w:r>
    </w:p>
    <w:p w:rsidR="0024131D" w:rsidRPr="00F92A95" w:rsidRDefault="00F92A95">
      <w:pPr>
        <w:spacing w:after="136" w:line="259" w:lineRule="auto"/>
        <w:ind w:left="641" w:right="0" w:firstLine="0"/>
        <w:jc w:val="left"/>
        <w:rPr>
          <w:lang w:val="en-US"/>
        </w:rPr>
      </w:pPr>
      <w:r w:rsidRPr="00F92A95">
        <w:rPr>
          <w:lang w:val="en-US"/>
        </w:rPr>
        <w:t xml:space="preserve"> </w:t>
      </w:r>
    </w:p>
    <w:p w:rsidR="0024131D" w:rsidRDefault="00F92A95">
      <w:pPr>
        <w:numPr>
          <w:ilvl w:val="0"/>
          <w:numId w:val="1"/>
        </w:numPr>
        <w:spacing w:after="0" w:line="240" w:lineRule="auto"/>
        <w:ind w:right="58" w:hanging="646"/>
        <w:jc w:val="left"/>
      </w:pPr>
      <w:r w:rsidRPr="00F92A95">
        <w:rPr>
          <w:lang w:val="en-US"/>
        </w:rPr>
        <w:t xml:space="preserve">Wilhelm SM, </w:t>
      </w:r>
      <w:proofErr w:type="spellStart"/>
      <w:r w:rsidRPr="00F92A95">
        <w:rPr>
          <w:lang w:val="en-US"/>
        </w:rPr>
        <w:t>Adnane</w:t>
      </w:r>
      <w:proofErr w:type="spellEnd"/>
      <w:r w:rsidRPr="00F92A95">
        <w:rPr>
          <w:lang w:val="en-US"/>
        </w:rPr>
        <w:t xml:space="preserve"> L, Newell P, Vi</w:t>
      </w:r>
      <w:r w:rsidRPr="00F92A95">
        <w:rPr>
          <w:lang w:val="en-US"/>
        </w:rPr>
        <w:t xml:space="preserve">llanueva A, </w:t>
      </w:r>
      <w:proofErr w:type="spellStart"/>
      <w:r w:rsidRPr="00F92A95">
        <w:rPr>
          <w:lang w:val="en-US"/>
        </w:rPr>
        <w:t>Llovet</w:t>
      </w:r>
      <w:proofErr w:type="spellEnd"/>
      <w:r w:rsidRPr="00F92A95">
        <w:rPr>
          <w:lang w:val="en-US"/>
        </w:rPr>
        <w:t xml:space="preserve"> JM, Lynch M. Preclinical overview of sorafenib, a </w:t>
      </w:r>
      <w:proofErr w:type="spellStart"/>
      <w:r w:rsidRPr="00F92A95">
        <w:rPr>
          <w:lang w:val="en-US"/>
        </w:rPr>
        <w:t>multikinase</w:t>
      </w:r>
      <w:proofErr w:type="spellEnd"/>
      <w:r w:rsidRPr="00F92A95">
        <w:rPr>
          <w:lang w:val="en-US"/>
        </w:rPr>
        <w:t xml:space="preserve"> inhibitor that targets both Raf and VEGF and PDGF receptor tyrosine kinase signaling. </w:t>
      </w:r>
      <w:r>
        <w:t xml:space="preserve">Mol </w:t>
      </w:r>
      <w:proofErr w:type="spellStart"/>
      <w:r>
        <w:t>Cancer</w:t>
      </w:r>
      <w:proofErr w:type="spellEnd"/>
      <w:r>
        <w:t xml:space="preserve"> </w:t>
      </w:r>
      <w:proofErr w:type="spellStart"/>
      <w:r>
        <w:t>Ther</w:t>
      </w:r>
      <w:proofErr w:type="spellEnd"/>
      <w:r>
        <w:t xml:space="preserve"> [Internet]. 2008. </w:t>
      </w:r>
      <w:proofErr w:type="spellStart"/>
      <w:r>
        <w:t>Cited</w:t>
      </w:r>
      <w:proofErr w:type="spellEnd"/>
      <w:r>
        <w:t xml:space="preserve"> [2022 </w:t>
      </w:r>
      <w:proofErr w:type="spellStart"/>
      <w:r>
        <w:t>september</w:t>
      </w:r>
      <w:proofErr w:type="spellEnd"/>
      <w:r>
        <w:t xml:space="preserve"> 24];7(10):3129–69. </w:t>
      </w:r>
      <w:proofErr w:type="spellStart"/>
      <w:r>
        <w:t>Available</w:t>
      </w:r>
      <w:proofErr w:type="spellEnd"/>
      <w:r>
        <w:t xml:space="preserve"> </w:t>
      </w:r>
      <w:proofErr w:type="spellStart"/>
      <w:r>
        <w:t>from</w:t>
      </w:r>
      <w:proofErr w:type="spellEnd"/>
      <w:r>
        <w:t xml:space="preserve">: </w:t>
      </w:r>
    </w:p>
    <w:p w:rsidR="0024131D" w:rsidRDefault="00F92A95">
      <w:pPr>
        <w:spacing w:line="259" w:lineRule="auto"/>
        <w:ind w:left="651" w:right="48"/>
      </w:pPr>
      <w:r>
        <w:t xml:space="preserve">[http://aacrjournals.org/mct/article-pdf/7/10/3129/1878679/3129.pdf]. </w:t>
      </w:r>
    </w:p>
    <w:p w:rsidR="0024131D" w:rsidRDefault="00F92A95">
      <w:pPr>
        <w:spacing w:after="136" w:line="259" w:lineRule="auto"/>
        <w:ind w:left="0" w:right="0" w:firstLine="0"/>
        <w:jc w:val="left"/>
      </w:pPr>
      <w:r>
        <w:t xml:space="preserve"> </w:t>
      </w:r>
    </w:p>
    <w:p w:rsidR="0024131D" w:rsidRDefault="00F92A95">
      <w:pPr>
        <w:numPr>
          <w:ilvl w:val="0"/>
          <w:numId w:val="1"/>
        </w:numPr>
        <w:spacing w:after="0" w:line="259" w:lineRule="auto"/>
        <w:ind w:right="58" w:hanging="646"/>
        <w:jc w:val="left"/>
      </w:pPr>
      <w:r>
        <w:t xml:space="preserve">Liu Z, Liu X, </w:t>
      </w:r>
      <w:proofErr w:type="spellStart"/>
      <w:r>
        <w:t>Liang</w:t>
      </w:r>
      <w:proofErr w:type="spellEnd"/>
      <w:r>
        <w:t xml:space="preserve"> J, Liu Y, </w:t>
      </w:r>
      <w:proofErr w:type="spellStart"/>
      <w:r>
        <w:t>Hou</w:t>
      </w:r>
      <w:proofErr w:type="spellEnd"/>
      <w:r>
        <w:t xml:space="preserve"> X, Zhang M, et al. </w:t>
      </w:r>
      <w:proofErr w:type="spellStart"/>
      <w:r>
        <w:t>Immunotherapy</w:t>
      </w:r>
      <w:proofErr w:type="spellEnd"/>
      <w:r>
        <w:t xml:space="preserve"> for </w:t>
      </w:r>
    </w:p>
    <w:p w:rsidR="0024131D" w:rsidRPr="00F92A95" w:rsidRDefault="00F92A95">
      <w:pPr>
        <w:spacing w:line="238" w:lineRule="auto"/>
        <w:ind w:left="651" w:right="48"/>
        <w:rPr>
          <w:lang w:val="en-US"/>
        </w:rPr>
      </w:pPr>
      <w:r w:rsidRPr="00F92A95">
        <w:rPr>
          <w:lang w:val="en-US"/>
        </w:rPr>
        <w:t xml:space="preserve">Hepatocellular Carcinoma: Current Status and Future Prospects. [Internet] Cited [2022 </w:t>
      </w:r>
      <w:proofErr w:type="spellStart"/>
      <w:r w:rsidRPr="00F92A95">
        <w:rPr>
          <w:lang w:val="en-US"/>
        </w:rPr>
        <w:t>september</w:t>
      </w:r>
      <w:proofErr w:type="spellEnd"/>
      <w:r w:rsidRPr="00F92A95">
        <w:rPr>
          <w:lang w:val="en-US"/>
        </w:rPr>
        <w:t xml:space="preserve"> 24] </w:t>
      </w:r>
      <w:r w:rsidRPr="00F92A95">
        <w:rPr>
          <w:lang w:val="en-US"/>
        </w:rPr>
        <w:t xml:space="preserve">Available from: [www.frontiersin.org]. </w:t>
      </w:r>
    </w:p>
    <w:p w:rsidR="0024131D" w:rsidRPr="00F92A95" w:rsidRDefault="00F92A95">
      <w:pPr>
        <w:spacing w:after="0" w:line="259" w:lineRule="auto"/>
        <w:ind w:left="0" w:right="0" w:firstLine="0"/>
        <w:jc w:val="left"/>
        <w:rPr>
          <w:lang w:val="en-US"/>
        </w:rPr>
      </w:pPr>
      <w:r w:rsidRPr="00F92A95">
        <w:rPr>
          <w:lang w:val="en-US"/>
        </w:rPr>
        <w:t xml:space="preserve"> </w:t>
      </w:r>
    </w:p>
    <w:p w:rsidR="0024131D" w:rsidRPr="00F92A95" w:rsidRDefault="00F92A95">
      <w:pPr>
        <w:numPr>
          <w:ilvl w:val="0"/>
          <w:numId w:val="1"/>
        </w:numPr>
        <w:spacing w:after="158" w:line="240" w:lineRule="auto"/>
        <w:ind w:right="58" w:hanging="646"/>
        <w:jc w:val="left"/>
        <w:rPr>
          <w:lang w:val="en-US"/>
        </w:rPr>
      </w:pPr>
      <w:r w:rsidRPr="00F92A95">
        <w:rPr>
          <w:lang w:val="en-US"/>
        </w:rPr>
        <w:t xml:space="preserve">Page MJ, McKenzie JE, </w:t>
      </w:r>
      <w:proofErr w:type="spellStart"/>
      <w:r w:rsidRPr="00F92A95">
        <w:rPr>
          <w:lang w:val="en-US"/>
        </w:rPr>
        <w:t>Bossuyt</w:t>
      </w:r>
      <w:proofErr w:type="spellEnd"/>
      <w:r w:rsidRPr="00F92A95">
        <w:rPr>
          <w:lang w:val="en-US"/>
        </w:rPr>
        <w:t xml:space="preserve"> PM, </w:t>
      </w:r>
      <w:proofErr w:type="spellStart"/>
      <w:r w:rsidRPr="00F92A95">
        <w:rPr>
          <w:lang w:val="en-US"/>
        </w:rPr>
        <w:t>Boutron</w:t>
      </w:r>
      <w:proofErr w:type="spellEnd"/>
      <w:r w:rsidRPr="00F92A95">
        <w:rPr>
          <w:lang w:val="en-US"/>
        </w:rPr>
        <w:t xml:space="preserve"> I, Hoffmann TC, Mulrow CD, et al. The PRISMA 2020 statement: An updated guideline for reporting systematic reviews. Vol. 372, The BMJ. BMJ Publishing Group; [Internet] 2021</w:t>
      </w:r>
      <w:r w:rsidRPr="00F92A95">
        <w:rPr>
          <w:lang w:val="en-US"/>
        </w:rPr>
        <w:t xml:space="preserve"> Cited [2022 October 01]; Available from: [https://www.bmj.com/content/372/bmj.n71]. </w:t>
      </w:r>
    </w:p>
    <w:p w:rsidR="0024131D" w:rsidRPr="00F92A95" w:rsidRDefault="00F92A95">
      <w:pPr>
        <w:spacing w:after="182" w:line="259" w:lineRule="auto"/>
        <w:ind w:left="0" w:right="0" w:firstLine="0"/>
        <w:jc w:val="left"/>
        <w:rPr>
          <w:lang w:val="en-US"/>
        </w:rPr>
      </w:pPr>
      <w:r w:rsidRPr="00F92A95">
        <w:rPr>
          <w:lang w:val="en-US"/>
        </w:rPr>
        <w:t xml:space="preserve"> </w:t>
      </w:r>
    </w:p>
    <w:p w:rsidR="0024131D" w:rsidRDefault="00F92A95">
      <w:pPr>
        <w:numPr>
          <w:ilvl w:val="0"/>
          <w:numId w:val="1"/>
        </w:numPr>
        <w:spacing w:after="0" w:line="244" w:lineRule="auto"/>
        <w:ind w:right="58" w:hanging="646"/>
        <w:jc w:val="left"/>
      </w:pPr>
      <w:r w:rsidRPr="00F92A95">
        <w:rPr>
          <w:lang w:val="en-US"/>
        </w:rPr>
        <w:t xml:space="preserve">Whiting P, </w:t>
      </w:r>
      <w:proofErr w:type="spellStart"/>
      <w:r w:rsidRPr="00F92A95">
        <w:rPr>
          <w:lang w:val="en-US"/>
        </w:rPr>
        <w:t>Savović</w:t>
      </w:r>
      <w:proofErr w:type="spellEnd"/>
      <w:r w:rsidRPr="00F92A95">
        <w:rPr>
          <w:lang w:val="en-US"/>
        </w:rPr>
        <w:t xml:space="preserve"> J, Higgins JPT, Caldwell DM, Reeves BC, Shea B, et al. </w:t>
      </w:r>
      <w:r>
        <w:t xml:space="preserve">ROBIS: A new tool </w:t>
      </w:r>
      <w:proofErr w:type="spellStart"/>
      <w:r>
        <w:t>to</w:t>
      </w:r>
      <w:proofErr w:type="spellEnd"/>
      <w:r>
        <w:t xml:space="preserve"> </w:t>
      </w:r>
      <w:proofErr w:type="spellStart"/>
      <w:r>
        <w:t>assess</w:t>
      </w:r>
      <w:proofErr w:type="spellEnd"/>
      <w:r>
        <w:t xml:space="preserve"> </w:t>
      </w:r>
      <w:proofErr w:type="spellStart"/>
      <w:r>
        <w:t>risk</w:t>
      </w:r>
      <w:proofErr w:type="spellEnd"/>
      <w:r>
        <w:t xml:space="preserve"> </w:t>
      </w:r>
      <w:proofErr w:type="spellStart"/>
      <w:r>
        <w:t>of</w:t>
      </w:r>
      <w:proofErr w:type="spellEnd"/>
      <w:r>
        <w:t xml:space="preserve"> bias in </w:t>
      </w:r>
      <w:proofErr w:type="spellStart"/>
      <w:r>
        <w:t>systematic</w:t>
      </w:r>
      <w:proofErr w:type="spellEnd"/>
      <w:r>
        <w:t xml:space="preserve"> reviews </w:t>
      </w:r>
      <w:proofErr w:type="spellStart"/>
      <w:r>
        <w:t>was</w:t>
      </w:r>
      <w:proofErr w:type="spellEnd"/>
      <w:r>
        <w:t xml:space="preserve"> </w:t>
      </w:r>
      <w:proofErr w:type="spellStart"/>
      <w:r>
        <w:t>developed</w:t>
      </w:r>
      <w:proofErr w:type="spellEnd"/>
      <w:r>
        <w:t xml:space="preserve">. J </w:t>
      </w:r>
      <w:proofErr w:type="spellStart"/>
      <w:r>
        <w:t>Clin</w:t>
      </w:r>
      <w:proofErr w:type="spellEnd"/>
      <w:r>
        <w:t xml:space="preserve"> </w:t>
      </w:r>
      <w:proofErr w:type="spellStart"/>
      <w:r>
        <w:t>Epidemiol</w:t>
      </w:r>
      <w:proofErr w:type="spellEnd"/>
      <w:r>
        <w:t xml:space="preserve">. </w:t>
      </w:r>
    </w:p>
    <w:p w:rsidR="0024131D" w:rsidRPr="00F92A95" w:rsidRDefault="00F92A95">
      <w:pPr>
        <w:spacing w:line="238" w:lineRule="auto"/>
        <w:ind w:left="651" w:right="48"/>
        <w:rPr>
          <w:lang w:val="en-US"/>
        </w:rPr>
      </w:pPr>
      <w:r w:rsidRPr="00F92A95">
        <w:rPr>
          <w:lang w:val="en-US"/>
        </w:rPr>
        <w:t>[Internet] 2016 Jan 1 Cited [2022 October 02</w:t>
      </w:r>
      <w:proofErr w:type="gramStart"/>
      <w:r w:rsidRPr="00F92A95">
        <w:rPr>
          <w:lang w:val="en-US"/>
        </w:rPr>
        <w:t>] ;</w:t>
      </w:r>
      <w:proofErr w:type="gramEnd"/>
      <w:r w:rsidRPr="00F92A95">
        <w:rPr>
          <w:lang w:val="en-US"/>
        </w:rPr>
        <w:t xml:space="preserve">69:225–34. Available from: [https://pubmed.ncbi.nlm.nih.gov/26092286/]. </w:t>
      </w:r>
    </w:p>
    <w:p w:rsidR="0024131D" w:rsidRPr="00F92A95" w:rsidRDefault="00F92A95">
      <w:pPr>
        <w:spacing w:after="137" w:line="259" w:lineRule="auto"/>
        <w:ind w:left="0" w:right="0" w:firstLine="0"/>
        <w:jc w:val="left"/>
        <w:rPr>
          <w:lang w:val="en-US"/>
        </w:rPr>
      </w:pPr>
      <w:r w:rsidRPr="00F92A95">
        <w:rPr>
          <w:lang w:val="en-US"/>
        </w:rPr>
        <w:lastRenderedPageBreak/>
        <w:t xml:space="preserve"> </w:t>
      </w:r>
    </w:p>
    <w:p w:rsidR="0024131D" w:rsidRDefault="00F92A95">
      <w:pPr>
        <w:numPr>
          <w:ilvl w:val="0"/>
          <w:numId w:val="1"/>
        </w:numPr>
        <w:spacing w:after="158" w:line="240" w:lineRule="auto"/>
        <w:ind w:right="58" w:hanging="646"/>
        <w:jc w:val="left"/>
      </w:pPr>
      <w:r>
        <w:t xml:space="preserve">Lista de informações CONSORT 2010 para incluir no relatório de um estudo randomizado [Internet]. </w:t>
      </w:r>
      <w:proofErr w:type="spellStart"/>
      <w:r>
        <w:t>Cited</w:t>
      </w:r>
      <w:proofErr w:type="spellEnd"/>
      <w:r>
        <w:t xml:space="preserve"> [2022 </w:t>
      </w:r>
      <w:proofErr w:type="spellStart"/>
      <w:r>
        <w:t>October</w:t>
      </w:r>
      <w:proofErr w:type="spellEnd"/>
      <w:r>
        <w:t xml:space="preserve"> 02] </w:t>
      </w:r>
      <w:proofErr w:type="spellStart"/>
      <w:r>
        <w:t>Available</w:t>
      </w:r>
      <w:proofErr w:type="spellEnd"/>
      <w:r>
        <w:t xml:space="preserve"> </w:t>
      </w:r>
      <w:proofErr w:type="spellStart"/>
      <w:r>
        <w:t>from</w:t>
      </w:r>
      <w:proofErr w:type="spellEnd"/>
      <w:r>
        <w:t xml:space="preserve">: [www.consortstatement.org]. </w:t>
      </w:r>
    </w:p>
    <w:p w:rsidR="0024131D" w:rsidRDefault="00F92A95">
      <w:pPr>
        <w:spacing w:after="134" w:line="259" w:lineRule="auto"/>
        <w:ind w:left="0" w:right="0" w:firstLine="0"/>
        <w:jc w:val="left"/>
      </w:pPr>
      <w:r>
        <w:t xml:space="preserve"> </w:t>
      </w:r>
    </w:p>
    <w:p w:rsidR="0024131D" w:rsidRDefault="00F92A95">
      <w:pPr>
        <w:numPr>
          <w:ilvl w:val="0"/>
          <w:numId w:val="1"/>
        </w:numPr>
        <w:spacing w:after="0" w:line="240" w:lineRule="auto"/>
        <w:ind w:right="58" w:hanging="646"/>
        <w:jc w:val="left"/>
      </w:pPr>
      <w:r w:rsidRPr="00F92A95">
        <w:rPr>
          <w:lang w:val="en-US"/>
        </w:rPr>
        <w:t xml:space="preserve">Hoffmann K, </w:t>
      </w:r>
      <w:proofErr w:type="spellStart"/>
      <w:r w:rsidRPr="00F92A95">
        <w:rPr>
          <w:lang w:val="en-US"/>
        </w:rPr>
        <w:t>Ganten</w:t>
      </w:r>
      <w:proofErr w:type="spellEnd"/>
      <w:r w:rsidRPr="00F92A95">
        <w:rPr>
          <w:lang w:val="en-US"/>
        </w:rPr>
        <w:t xml:space="preserve"> T, </w:t>
      </w:r>
      <w:proofErr w:type="spellStart"/>
      <w:r w:rsidRPr="00F92A95">
        <w:rPr>
          <w:lang w:val="en-US"/>
        </w:rPr>
        <w:t>Gotthardtp</w:t>
      </w:r>
      <w:proofErr w:type="spellEnd"/>
      <w:r w:rsidRPr="00F92A95">
        <w:rPr>
          <w:lang w:val="en-US"/>
        </w:rPr>
        <w:t xml:space="preserve"> D, </w:t>
      </w:r>
      <w:proofErr w:type="spellStart"/>
      <w:r w:rsidRPr="00F92A95">
        <w:rPr>
          <w:lang w:val="en-US"/>
        </w:rPr>
        <w:t>Radeleff</w:t>
      </w:r>
      <w:proofErr w:type="spellEnd"/>
      <w:r w:rsidRPr="00F92A95">
        <w:rPr>
          <w:lang w:val="en-US"/>
        </w:rPr>
        <w:t xml:space="preserve"> B, </w:t>
      </w:r>
      <w:proofErr w:type="spellStart"/>
      <w:r w:rsidRPr="00F92A95">
        <w:rPr>
          <w:lang w:val="en-US"/>
        </w:rPr>
        <w:t>Settmacher</w:t>
      </w:r>
      <w:proofErr w:type="spellEnd"/>
      <w:r w:rsidRPr="00F92A95">
        <w:rPr>
          <w:lang w:val="en-US"/>
        </w:rPr>
        <w:t xml:space="preserve"> U, </w:t>
      </w:r>
      <w:proofErr w:type="spellStart"/>
      <w:r w:rsidRPr="00F92A95">
        <w:rPr>
          <w:lang w:val="en-US"/>
        </w:rPr>
        <w:t>Kollmar</w:t>
      </w:r>
      <w:proofErr w:type="spellEnd"/>
      <w:r w:rsidRPr="00F92A95">
        <w:rPr>
          <w:lang w:val="en-US"/>
        </w:rPr>
        <w:t xml:space="preserve"> O, et al. </w:t>
      </w:r>
      <w:proofErr w:type="spellStart"/>
      <w:r>
        <w:t>Impact</w:t>
      </w:r>
      <w:proofErr w:type="spellEnd"/>
      <w:r>
        <w:t xml:space="preserve"> </w:t>
      </w:r>
      <w:proofErr w:type="spellStart"/>
      <w:r>
        <w:t>of</w:t>
      </w:r>
      <w:proofErr w:type="spellEnd"/>
      <w:r>
        <w:t xml:space="preserve"> </w:t>
      </w:r>
      <w:proofErr w:type="spellStart"/>
      <w:r>
        <w:t>neo-adjuvant</w:t>
      </w:r>
      <w:proofErr w:type="spellEnd"/>
      <w:r>
        <w:t xml:space="preserve"> </w:t>
      </w:r>
      <w:proofErr w:type="spellStart"/>
      <w:r>
        <w:t>Sorafenib</w:t>
      </w:r>
      <w:proofErr w:type="spellEnd"/>
      <w:r>
        <w:t xml:space="preserve"> </w:t>
      </w:r>
      <w:proofErr w:type="spellStart"/>
      <w:r>
        <w:t>treatment</w:t>
      </w:r>
      <w:proofErr w:type="spellEnd"/>
      <w:r>
        <w:t xml:space="preserve"> </w:t>
      </w:r>
      <w:proofErr w:type="spellStart"/>
      <w:r>
        <w:t>on</w:t>
      </w:r>
      <w:proofErr w:type="spellEnd"/>
      <w:r>
        <w:t xml:space="preserve"> </w:t>
      </w:r>
      <w:proofErr w:type="spellStart"/>
      <w:r>
        <w:t>liver</w:t>
      </w:r>
      <w:proofErr w:type="spellEnd"/>
      <w:r>
        <w:t xml:space="preserve"> </w:t>
      </w:r>
      <w:proofErr w:type="spellStart"/>
      <w:r>
        <w:t>transplantation</w:t>
      </w:r>
      <w:proofErr w:type="spellEnd"/>
      <w:r>
        <w:t xml:space="preserve"> in HCC </w:t>
      </w:r>
      <w:proofErr w:type="spellStart"/>
      <w:r>
        <w:t>patients</w:t>
      </w:r>
      <w:proofErr w:type="spellEnd"/>
      <w:r>
        <w:t xml:space="preserve"> - a </w:t>
      </w:r>
      <w:proofErr w:type="spellStart"/>
      <w:r>
        <w:t>prospective</w:t>
      </w:r>
      <w:proofErr w:type="spellEnd"/>
      <w:r>
        <w:t xml:space="preserve">, </w:t>
      </w:r>
      <w:proofErr w:type="spellStart"/>
      <w:r>
        <w:t>randomized</w:t>
      </w:r>
      <w:proofErr w:type="spellEnd"/>
      <w:r>
        <w:t xml:space="preserve">, </w:t>
      </w:r>
      <w:proofErr w:type="spellStart"/>
      <w:r>
        <w:t>double-</w:t>
      </w:r>
      <w:r>
        <w:t>blind</w:t>
      </w:r>
      <w:proofErr w:type="spellEnd"/>
      <w:r>
        <w:t xml:space="preserve">, </w:t>
      </w:r>
      <w:proofErr w:type="spellStart"/>
      <w:r>
        <w:t>phase</w:t>
      </w:r>
      <w:proofErr w:type="spellEnd"/>
      <w:r>
        <w:t xml:space="preserve"> III </w:t>
      </w:r>
      <w:proofErr w:type="spellStart"/>
      <w:r>
        <w:t>trial</w:t>
      </w:r>
      <w:proofErr w:type="spellEnd"/>
      <w:r>
        <w:t xml:space="preserve">. BMC </w:t>
      </w:r>
      <w:proofErr w:type="spellStart"/>
      <w:r>
        <w:t>Cancer</w:t>
      </w:r>
      <w:proofErr w:type="spellEnd"/>
      <w:r>
        <w:t xml:space="preserve">. [Internet]. 2015 May 11. </w:t>
      </w:r>
      <w:proofErr w:type="spellStart"/>
      <w:r>
        <w:t>Cited</w:t>
      </w:r>
      <w:proofErr w:type="spellEnd"/>
      <w:r>
        <w:t xml:space="preserve"> [2022 </w:t>
      </w:r>
      <w:proofErr w:type="spellStart"/>
      <w:r>
        <w:t>October</w:t>
      </w:r>
      <w:proofErr w:type="spellEnd"/>
      <w:r>
        <w:t xml:space="preserve"> 02];15(1). </w:t>
      </w:r>
      <w:proofErr w:type="spellStart"/>
      <w:r>
        <w:t>Available</w:t>
      </w:r>
      <w:proofErr w:type="spellEnd"/>
      <w:r>
        <w:t xml:space="preserve"> </w:t>
      </w:r>
      <w:proofErr w:type="spellStart"/>
      <w:r>
        <w:t>from</w:t>
      </w:r>
      <w:proofErr w:type="spellEnd"/>
      <w:r>
        <w:t xml:space="preserve">: </w:t>
      </w:r>
    </w:p>
    <w:p w:rsidR="0024131D" w:rsidRDefault="00F92A95">
      <w:pPr>
        <w:spacing w:line="259" w:lineRule="auto"/>
        <w:ind w:left="651" w:right="48"/>
      </w:pPr>
      <w:r>
        <w:t xml:space="preserve">[https://bmccancer.biomedcentral.com/articles/10.1186/s12885-015-1373-z]. </w:t>
      </w:r>
    </w:p>
    <w:p w:rsidR="0024131D" w:rsidRDefault="00F92A95">
      <w:pPr>
        <w:spacing w:after="136" w:line="259" w:lineRule="auto"/>
        <w:ind w:left="0" w:right="0" w:firstLine="0"/>
        <w:jc w:val="left"/>
      </w:pPr>
      <w:r>
        <w:t xml:space="preserve"> </w:t>
      </w:r>
    </w:p>
    <w:p w:rsidR="0024131D" w:rsidRPr="00F92A95" w:rsidRDefault="00F92A95">
      <w:pPr>
        <w:numPr>
          <w:ilvl w:val="0"/>
          <w:numId w:val="1"/>
        </w:numPr>
        <w:spacing w:after="158" w:line="240" w:lineRule="auto"/>
        <w:ind w:right="58" w:hanging="646"/>
        <w:jc w:val="left"/>
        <w:rPr>
          <w:lang w:val="en-US"/>
        </w:rPr>
      </w:pPr>
      <w:r w:rsidRPr="00F92A95">
        <w:rPr>
          <w:lang w:val="en-US"/>
        </w:rPr>
        <w:t xml:space="preserve">Lencioni R, </w:t>
      </w:r>
      <w:proofErr w:type="spellStart"/>
      <w:r w:rsidRPr="00F92A95">
        <w:rPr>
          <w:lang w:val="en-US"/>
        </w:rPr>
        <w:t>Llovet</w:t>
      </w:r>
      <w:proofErr w:type="spellEnd"/>
      <w:r w:rsidRPr="00F92A95">
        <w:rPr>
          <w:lang w:val="en-US"/>
        </w:rPr>
        <w:t xml:space="preserve"> JM, Han G, </w:t>
      </w:r>
      <w:proofErr w:type="spellStart"/>
      <w:r w:rsidRPr="00F92A95">
        <w:rPr>
          <w:lang w:val="en-US"/>
        </w:rPr>
        <w:t>Tak</w:t>
      </w:r>
      <w:proofErr w:type="spellEnd"/>
      <w:r w:rsidRPr="00F92A95">
        <w:rPr>
          <w:lang w:val="en-US"/>
        </w:rPr>
        <w:t xml:space="preserve"> WY, Yang J, </w:t>
      </w:r>
      <w:proofErr w:type="spellStart"/>
      <w:r w:rsidRPr="00F92A95">
        <w:rPr>
          <w:lang w:val="en-US"/>
        </w:rPr>
        <w:t>Guglielmi</w:t>
      </w:r>
      <w:proofErr w:type="spellEnd"/>
      <w:r w:rsidRPr="00F92A95">
        <w:rPr>
          <w:lang w:val="en-US"/>
        </w:rPr>
        <w:t xml:space="preserve"> A, et al. </w:t>
      </w:r>
      <w:proofErr w:type="spellStart"/>
      <w:r>
        <w:t>Sora</w:t>
      </w:r>
      <w:r>
        <w:t>fenib</w:t>
      </w:r>
      <w:proofErr w:type="spellEnd"/>
      <w:r>
        <w:t xml:space="preserve"> </w:t>
      </w:r>
      <w:proofErr w:type="spellStart"/>
      <w:r>
        <w:t>or</w:t>
      </w:r>
      <w:proofErr w:type="spellEnd"/>
      <w:r>
        <w:t xml:space="preserve"> placebo </w:t>
      </w:r>
      <w:proofErr w:type="spellStart"/>
      <w:r>
        <w:t>plus</w:t>
      </w:r>
      <w:proofErr w:type="spellEnd"/>
      <w:r>
        <w:t xml:space="preserve"> TACE </w:t>
      </w:r>
      <w:proofErr w:type="spellStart"/>
      <w:r>
        <w:t>with</w:t>
      </w:r>
      <w:proofErr w:type="spellEnd"/>
      <w:r>
        <w:t xml:space="preserve"> </w:t>
      </w:r>
      <w:proofErr w:type="spellStart"/>
      <w:r>
        <w:t>doxorubicin-eluting</w:t>
      </w:r>
      <w:proofErr w:type="spellEnd"/>
      <w:r>
        <w:t xml:space="preserve"> </w:t>
      </w:r>
      <w:proofErr w:type="spellStart"/>
      <w:r>
        <w:t>beads</w:t>
      </w:r>
      <w:proofErr w:type="spellEnd"/>
      <w:r>
        <w:t xml:space="preserve"> for </w:t>
      </w:r>
      <w:proofErr w:type="spellStart"/>
      <w:r>
        <w:t>intermediate</w:t>
      </w:r>
      <w:proofErr w:type="spellEnd"/>
      <w:r>
        <w:t xml:space="preserve"> </w:t>
      </w:r>
      <w:proofErr w:type="spellStart"/>
      <w:r>
        <w:t>stage</w:t>
      </w:r>
      <w:proofErr w:type="spellEnd"/>
      <w:r>
        <w:t xml:space="preserve"> HCC: The SPACE </w:t>
      </w:r>
      <w:proofErr w:type="spellStart"/>
      <w:r>
        <w:t>trial</w:t>
      </w:r>
      <w:proofErr w:type="spellEnd"/>
      <w:r>
        <w:t xml:space="preserve">. </w:t>
      </w:r>
      <w:r w:rsidRPr="00F92A95">
        <w:rPr>
          <w:lang w:val="en-US"/>
        </w:rPr>
        <w:t xml:space="preserve">J </w:t>
      </w:r>
      <w:proofErr w:type="spellStart"/>
      <w:r w:rsidRPr="00F92A95">
        <w:rPr>
          <w:lang w:val="en-US"/>
        </w:rPr>
        <w:t>Hepatol</w:t>
      </w:r>
      <w:proofErr w:type="spellEnd"/>
      <w:r w:rsidRPr="00F92A95">
        <w:rPr>
          <w:lang w:val="en-US"/>
        </w:rPr>
        <w:t xml:space="preserve">. [Internet].  2016 May 1. Cited [2022 October 03];64(5):1090– 8. Available from: [https://pubmed.ncbi.nlm.nih.gov/26809111/]. </w:t>
      </w:r>
    </w:p>
    <w:p w:rsidR="0024131D" w:rsidRPr="00F92A95" w:rsidRDefault="00F92A95">
      <w:pPr>
        <w:spacing w:after="136" w:line="259" w:lineRule="auto"/>
        <w:ind w:left="0" w:right="0" w:firstLine="0"/>
        <w:jc w:val="left"/>
        <w:rPr>
          <w:lang w:val="en-US"/>
        </w:rPr>
      </w:pPr>
      <w:r w:rsidRPr="00F92A95">
        <w:rPr>
          <w:lang w:val="en-US"/>
        </w:rPr>
        <w:t xml:space="preserve"> </w:t>
      </w:r>
    </w:p>
    <w:p w:rsidR="0024131D" w:rsidRDefault="00F92A95">
      <w:pPr>
        <w:numPr>
          <w:ilvl w:val="0"/>
          <w:numId w:val="1"/>
        </w:numPr>
        <w:spacing w:after="0" w:line="240" w:lineRule="auto"/>
        <w:ind w:right="58" w:hanging="646"/>
        <w:jc w:val="left"/>
      </w:pPr>
      <w:r w:rsidRPr="00F92A95">
        <w:rPr>
          <w:lang w:val="en-US"/>
        </w:rPr>
        <w:t>Meyer T, Fox R</w:t>
      </w:r>
      <w:r w:rsidRPr="00F92A95">
        <w:rPr>
          <w:lang w:val="en-US"/>
        </w:rPr>
        <w:t xml:space="preserve">, Ma YT, Ross PJ, James MW, </w:t>
      </w:r>
      <w:proofErr w:type="spellStart"/>
      <w:r w:rsidRPr="00F92A95">
        <w:rPr>
          <w:lang w:val="en-US"/>
        </w:rPr>
        <w:t>Sturgess</w:t>
      </w:r>
      <w:proofErr w:type="spellEnd"/>
      <w:r w:rsidRPr="00F92A95">
        <w:rPr>
          <w:lang w:val="en-US"/>
        </w:rPr>
        <w:t xml:space="preserve"> R, et al. </w:t>
      </w:r>
      <w:proofErr w:type="spellStart"/>
      <w:r>
        <w:t>Sorafenib</w:t>
      </w:r>
      <w:proofErr w:type="spellEnd"/>
      <w:r>
        <w:t xml:space="preserve"> in </w:t>
      </w:r>
      <w:proofErr w:type="spellStart"/>
      <w:r>
        <w:t>combination</w:t>
      </w:r>
      <w:proofErr w:type="spellEnd"/>
      <w:r>
        <w:t xml:space="preserve"> </w:t>
      </w:r>
      <w:proofErr w:type="spellStart"/>
      <w:r>
        <w:t>with</w:t>
      </w:r>
      <w:proofErr w:type="spellEnd"/>
      <w:r>
        <w:t xml:space="preserve"> </w:t>
      </w:r>
      <w:proofErr w:type="spellStart"/>
      <w:r>
        <w:t>transarterial</w:t>
      </w:r>
      <w:proofErr w:type="spellEnd"/>
      <w:r>
        <w:t xml:space="preserve"> </w:t>
      </w:r>
      <w:proofErr w:type="spellStart"/>
      <w:r>
        <w:t>chemoembolisation</w:t>
      </w:r>
      <w:proofErr w:type="spellEnd"/>
      <w:r>
        <w:t xml:space="preserve"> in </w:t>
      </w:r>
      <w:proofErr w:type="spellStart"/>
      <w:r>
        <w:t>patients</w:t>
      </w:r>
      <w:proofErr w:type="spellEnd"/>
      <w:r>
        <w:t xml:space="preserve"> </w:t>
      </w:r>
      <w:proofErr w:type="spellStart"/>
      <w:r>
        <w:t>with</w:t>
      </w:r>
      <w:proofErr w:type="spellEnd"/>
      <w:r>
        <w:t xml:space="preserve"> </w:t>
      </w:r>
      <w:proofErr w:type="spellStart"/>
      <w:r>
        <w:t>unresectable</w:t>
      </w:r>
      <w:proofErr w:type="spellEnd"/>
      <w:r>
        <w:t xml:space="preserve"> </w:t>
      </w:r>
      <w:proofErr w:type="spellStart"/>
      <w:r>
        <w:t>hepatocellular</w:t>
      </w:r>
      <w:proofErr w:type="spellEnd"/>
      <w:r>
        <w:t xml:space="preserve"> carcinoma (TACE 2): a </w:t>
      </w:r>
      <w:proofErr w:type="spellStart"/>
      <w:r>
        <w:t>randomised</w:t>
      </w:r>
      <w:proofErr w:type="spellEnd"/>
      <w:r>
        <w:t xml:space="preserve"> placebo-</w:t>
      </w:r>
      <w:proofErr w:type="spellStart"/>
      <w:r>
        <w:t>controlled</w:t>
      </w:r>
      <w:proofErr w:type="spellEnd"/>
      <w:r>
        <w:t xml:space="preserve">, </w:t>
      </w:r>
      <w:proofErr w:type="spellStart"/>
      <w:r>
        <w:t>double-blind</w:t>
      </w:r>
      <w:proofErr w:type="spellEnd"/>
      <w:r>
        <w:t xml:space="preserve">, </w:t>
      </w:r>
      <w:proofErr w:type="spellStart"/>
      <w:r>
        <w:t>phase</w:t>
      </w:r>
      <w:proofErr w:type="spellEnd"/>
      <w:r>
        <w:t xml:space="preserve"> 3 </w:t>
      </w:r>
      <w:proofErr w:type="spellStart"/>
      <w:r>
        <w:t>trial</w:t>
      </w:r>
      <w:proofErr w:type="spellEnd"/>
      <w:r>
        <w:t xml:space="preserve">. Lancet </w:t>
      </w:r>
      <w:proofErr w:type="spellStart"/>
      <w:r>
        <w:t>Gastroenterol</w:t>
      </w:r>
      <w:proofErr w:type="spellEnd"/>
      <w:r>
        <w:t xml:space="preserve"> </w:t>
      </w:r>
      <w:proofErr w:type="spellStart"/>
      <w:r>
        <w:t>Hepatol</w:t>
      </w:r>
      <w:proofErr w:type="spellEnd"/>
      <w:r>
        <w:t xml:space="preserve">. [Internet]. 2017 </w:t>
      </w:r>
      <w:proofErr w:type="spellStart"/>
      <w:r>
        <w:t>Aug</w:t>
      </w:r>
      <w:proofErr w:type="spellEnd"/>
      <w:r>
        <w:t xml:space="preserve"> 1; </w:t>
      </w:r>
      <w:proofErr w:type="spellStart"/>
      <w:r>
        <w:t>Cited</w:t>
      </w:r>
      <w:proofErr w:type="spellEnd"/>
      <w:r>
        <w:t xml:space="preserve"> [2022 </w:t>
      </w:r>
      <w:proofErr w:type="spellStart"/>
      <w:r>
        <w:t>October</w:t>
      </w:r>
      <w:proofErr w:type="spellEnd"/>
      <w:r>
        <w:t xml:space="preserve"> 03]. 2(8):565–75. </w:t>
      </w:r>
      <w:proofErr w:type="spellStart"/>
      <w:r>
        <w:t>Available</w:t>
      </w:r>
      <w:proofErr w:type="spellEnd"/>
      <w:r>
        <w:t xml:space="preserve"> </w:t>
      </w:r>
      <w:proofErr w:type="spellStart"/>
      <w:r>
        <w:t>from</w:t>
      </w:r>
      <w:proofErr w:type="spellEnd"/>
      <w:r>
        <w:t xml:space="preserve">: </w:t>
      </w:r>
    </w:p>
    <w:p w:rsidR="0024131D" w:rsidRDefault="00F92A95">
      <w:pPr>
        <w:spacing w:line="259" w:lineRule="auto"/>
        <w:ind w:left="651" w:right="48"/>
      </w:pPr>
      <w:r>
        <w:t xml:space="preserve">[https://pubmed.ncbi.nlm.nih.gov/28648803/]. </w:t>
      </w:r>
    </w:p>
    <w:p w:rsidR="0024131D" w:rsidRDefault="00F92A95">
      <w:pPr>
        <w:spacing w:after="135" w:line="259" w:lineRule="auto"/>
        <w:ind w:left="0" w:right="0" w:firstLine="0"/>
        <w:jc w:val="left"/>
      </w:pPr>
      <w:r>
        <w:t xml:space="preserve"> </w:t>
      </w:r>
    </w:p>
    <w:p w:rsidR="0024131D" w:rsidRPr="00F92A95" w:rsidRDefault="00F92A95">
      <w:pPr>
        <w:numPr>
          <w:ilvl w:val="0"/>
          <w:numId w:val="1"/>
        </w:numPr>
        <w:spacing w:after="158" w:line="240" w:lineRule="auto"/>
        <w:ind w:right="58" w:hanging="646"/>
        <w:jc w:val="left"/>
        <w:rPr>
          <w:lang w:val="en-US"/>
        </w:rPr>
      </w:pPr>
      <w:r w:rsidRPr="00F92A95">
        <w:rPr>
          <w:lang w:val="en-US"/>
        </w:rPr>
        <w:t xml:space="preserve">Pinter M, </w:t>
      </w:r>
      <w:proofErr w:type="spellStart"/>
      <w:r w:rsidRPr="00F92A95">
        <w:rPr>
          <w:lang w:val="en-US"/>
        </w:rPr>
        <w:t>Ulbrich</w:t>
      </w:r>
      <w:proofErr w:type="spellEnd"/>
      <w:r w:rsidRPr="00F92A95">
        <w:rPr>
          <w:lang w:val="en-US"/>
        </w:rPr>
        <w:t xml:space="preserve"> G, </w:t>
      </w:r>
      <w:proofErr w:type="spellStart"/>
      <w:r w:rsidRPr="00F92A95">
        <w:rPr>
          <w:lang w:val="en-US"/>
        </w:rPr>
        <w:t>Sieghart</w:t>
      </w:r>
      <w:proofErr w:type="spellEnd"/>
      <w:r w:rsidRPr="00F92A95">
        <w:rPr>
          <w:lang w:val="en-US"/>
        </w:rPr>
        <w:t xml:space="preserve"> W, </w:t>
      </w:r>
      <w:proofErr w:type="spellStart"/>
      <w:r w:rsidRPr="00F92A95">
        <w:rPr>
          <w:lang w:val="en-US"/>
        </w:rPr>
        <w:t>Kölblinger</w:t>
      </w:r>
      <w:proofErr w:type="spellEnd"/>
      <w:r w:rsidRPr="00F92A95">
        <w:rPr>
          <w:lang w:val="en-US"/>
        </w:rPr>
        <w:t xml:space="preserve"> C, </w:t>
      </w:r>
      <w:proofErr w:type="spellStart"/>
      <w:r w:rsidRPr="00F92A95">
        <w:rPr>
          <w:lang w:val="en-US"/>
        </w:rPr>
        <w:t>Reiberger</w:t>
      </w:r>
      <w:proofErr w:type="spellEnd"/>
      <w:r w:rsidRPr="00F92A95">
        <w:rPr>
          <w:lang w:val="en-US"/>
        </w:rPr>
        <w:t xml:space="preserve"> T, Li S, et al. </w:t>
      </w:r>
      <w:proofErr w:type="spellStart"/>
      <w:r>
        <w:t>Hepatocellular</w:t>
      </w:r>
      <w:proofErr w:type="spellEnd"/>
      <w:r>
        <w:t xml:space="preserve"> carcinoma: A </w:t>
      </w:r>
      <w:proofErr w:type="spellStart"/>
      <w:r>
        <w:t>phase</w:t>
      </w:r>
      <w:proofErr w:type="spellEnd"/>
      <w:r>
        <w:t xml:space="preserve"> II </w:t>
      </w:r>
      <w:proofErr w:type="spellStart"/>
      <w:r>
        <w:t>randomize</w:t>
      </w:r>
      <w:r>
        <w:t>d</w:t>
      </w:r>
      <w:proofErr w:type="spellEnd"/>
      <w:r>
        <w:t xml:space="preserve"> </w:t>
      </w:r>
      <w:proofErr w:type="spellStart"/>
      <w:r>
        <w:t>controlled</w:t>
      </w:r>
      <w:proofErr w:type="spellEnd"/>
      <w:r>
        <w:t xml:space="preserve"> </w:t>
      </w:r>
      <w:proofErr w:type="spellStart"/>
      <w:r>
        <w:t>double-blind</w:t>
      </w:r>
      <w:proofErr w:type="spellEnd"/>
      <w:r>
        <w:t xml:space="preserve"> </w:t>
      </w:r>
      <w:proofErr w:type="spellStart"/>
      <w:r>
        <w:t>trial</w:t>
      </w:r>
      <w:proofErr w:type="spellEnd"/>
      <w:r>
        <w:t xml:space="preserve"> </w:t>
      </w:r>
      <w:proofErr w:type="spellStart"/>
      <w:r>
        <w:t>of</w:t>
      </w:r>
      <w:proofErr w:type="spellEnd"/>
      <w:r>
        <w:t xml:space="preserve"> </w:t>
      </w:r>
      <w:proofErr w:type="spellStart"/>
      <w:r>
        <w:t>transarterial</w:t>
      </w:r>
      <w:proofErr w:type="spellEnd"/>
      <w:r>
        <w:t xml:space="preserve"> </w:t>
      </w:r>
      <w:proofErr w:type="spellStart"/>
      <w:r>
        <w:t>chemoembolization</w:t>
      </w:r>
      <w:proofErr w:type="spellEnd"/>
      <w:r>
        <w:t xml:space="preserve"> in </w:t>
      </w:r>
      <w:proofErr w:type="spellStart"/>
      <w:r>
        <w:t>combination</w:t>
      </w:r>
      <w:proofErr w:type="spellEnd"/>
      <w:r>
        <w:t xml:space="preserve"> </w:t>
      </w:r>
      <w:proofErr w:type="spellStart"/>
      <w:r>
        <w:t>with</w:t>
      </w:r>
      <w:proofErr w:type="spellEnd"/>
      <w:r>
        <w:t xml:space="preserve"> </w:t>
      </w:r>
      <w:proofErr w:type="spellStart"/>
      <w:r>
        <w:t>biweekly</w:t>
      </w:r>
      <w:proofErr w:type="spellEnd"/>
      <w:r>
        <w:t xml:space="preserve"> </w:t>
      </w:r>
      <w:proofErr w:type="spellStart"/>
      <w:r>
        <w:t>intravenous</w:t>
      </w:r>
      <w:proofErr w:type="spellEnd"/>
      <w:r>
        <w:t xml:space="preserve"> </w:t>
      </w:r>
      <w:proofErr w:type="spellStart"/>
      <w:r>
        <w:t>administration</w:t>
      </w:r>
      <w:proofErr w:type="spellEnd"/>
      <w:r>
        <w:t xml:space="preserve"> </w:t>
      </w:r>
      <w:proofErr w:type="spellStart"/>
      <w:r>
        <w:t>of</w:t>
      </w:r>
      <w:proofErr w:type="spellEnd"/>
      <w:r>
        <w:t xml:space="preserve"> </w:t>
      </w:r>
      <w:proofErr w:type="spellStart"/>
      <w:r>
        <w:t>bevacizumab</w:t>
      </w:r>
      <w:proofErr w:type="spellEnd"/>
      <w:r>
        <w:t xml:space="preserve"> </w:t>
      </w:r>
      <w:proofErr w:type="spellStart"/>
      <w:r>
        <w:t>or</w:t>
      </w:r>
      <w:proofErr w:type="spellEnd"/>
      <w:r>
        <w:t xml:space="preserve"> a placebo1. </w:t>
      </w:r>
      <w:r w:rsidRPr="00F92A95">
        <w:rPr>
          <w:lang w:val="en-US"/>
        </w:rPr>
        <w:t>Radiology. [Internet]. 2015 Dec 1. Cited [2022 October 03]. 277(3):903–12. Available from: [https://pub</w:t>
      </w:r>
      <w:r w:rsidRPr="00F92A95">
        <w:rPr>
          <w:lang w:val="en-US"/>
        </w:rPr>
        <w:t xml:space="preserve">med.ncbi.nlm.nih.gov/26131911/]. </w:t>
      </w:r>
    </w:p>
    <w:p w:rsidR="0024131D" w:rsidRPr="00F92A95" w:rsidRDefault="00F92A95">
      <w:pPr>
        <w:spacing w:after="134" w:line="259" w:lineRule="auto"/>
        <w:ind w:left="0" w:right="0" w:firstLine="0"/>
        <w:jc w:val="left"/>
        <w:rPr>
          <w:lang w:val="en-US"/>
        </w:rPr>
      </w:pPr>
      <w:r w:rsidRPr="00F92A95">
        <w:rPr>
          <w:lang w:val="en-US"/>
        </w:rPr>
        <w:t xml:space="preserve"> </w:t>
      </w:r>
    </w:p>
    <w:p w:rsidR="0024131D" w:rsidRDefault="00F92A95">
      <w:pPr>
        <w:numPr>
          <w:ilvl w:val="0"/>
          <w:numId w:val="1"/>
        </w:numPr>
        <w:spacing w:line="244" w:lineRule="auto"/>
        <w:ind w:right="58" w:hanging="646"/>
        <w:jc w:val="left"/>
      </w:pPr>
      <w:r w:rsidRPr="00F92A95">
        <w:rPr>
          <w:lang w:val="en-US"/>
        </w:rPr>
        <w:t xml:space="preserve">Kudo M, Han G, Finn RS, Poon RTP, Blanc JF, Yan L, et al. </w:t>
      </w:r>
      <w:proofErr w:type="spellStart"/>
      <w:r>
        <w:t>Brivanib</w:t>
      </w:r>
      <w:proofErr w:type="spellEnd"/>
      <w:r>
        <w:t xml:space="preserve"> as </w:t>
      </w:r>
      <w:proofErr w:type="spellStart"/>
      <w:r>
        <w:t>Adjuvant</w:t>
      </w:r>
      <w:proofErr w:type="spellEnd"/>
      <w:r>
        <w:t xml:space="preserve"> </w:t>
      </w:r>
      <w:proofErr w:type="spellStart"/>
      <w:r>
        <w:t>Therapy</w:t>
      </w:r>
      <w:proofErr w:type="spellEnd"/>
      <w:r>
        <w:t xml:space="preserve"> </w:t>
      </w:r>
      <w:proofErr w:type="spellStart"/>
      <w:r>
        <w:t>to</w:t>
      </w:r>
      <w:proofErr w:type="spellEnd"/>
      <w:r>
        <w:t xml:space="preserve"> </w:t>
      </w:r>
      <w:proofErr w:type="spellStart"/>
      <w:r>
        <w:t>Transarterial</w:t>
      </w:r>
      <w:proofErr w:type="spellEnd"/>
      <w:r>
        <w:t xml:space="preserve"> </w:t>
      </w:r>
      <w:proofErr w:type="spellStart"/>
      <w:r>
        <w:t>Chemoembolization</w:t>
      </w:r>
      <w:proofErr w:type="spellEnd"/>
      <w:r>
        <w:t xml:space="preserve"> in </w:t>
      </w:r>
      <w:proofErr w:type="spellStart"/>
      <w:r>
        <w:t>Patients</w:t>
      </w:r>
      <w:proofErr w:type="spellEnd"/>
      <w:r>
        <w:t xml:space="preserve"> </w:t>
      </w:r>
      <w:proofErr w:type="spellStart"/>
      <w:proofErr w:type="gramStart"/>
      <w:r>
        <w:t>With</w:t>
      </w:r>
      <w:proofErr w:type="spellEnd"/>
      <w:proofErr w:type="gramEnd"/>
      <w:r>
        <w:t xml:space="preserve"> </w:t>
      </w:r>
      <w:proofErr w:type="spellStart"/>
      <w:r>
        <w:t>Hepatocellular</w:t>
      </w:r>
      <w:proofErr w:type="spellEnd"/>
      <w:r>
        <w:t xml:space="preserve"> </w:t>
      </w:r>
    </w:p>
    <w:p w:rsidR="0024131D" w:rsidRDefault="00F92A95">
      <w:pPr>
        <w:spacing w:after="0" w:line="239" w:lineRule="auto"/>
        <w:ind w:left="651" w:right="48"/>
      </w:pPr>
      <w:r w:rsidRPr="00F92A95">
        <w:rPr>
          <w:lang w:val="en-US"/>
        </w:rPr>
        <w:t xml:space="preserve">Carcinoma: A Randomized Phase III Trial. </w:t>
      </w:r>
      <w:r>
        <w:t xml:space="preserve">HEPATOLOGY [Internet]. 2014. </w:t>
      </w:r>
      <w:proofErr w:type="spellStart"/>
      <w:r>
        <w:t>Cited</w:t>
      </w:r>
      <w:proofErr w:type="spellEnd"/>
      <w:r>
        <w:t xml:space="preserve"> [2022 </w:t>
      </w:r>
      <w:proofErr w:type="spellStart"/>
      <w:r>
        <w:t>October</w:t>
      </w:r>
      <w:proofErr w:type="spellEnd"/>
      <w:r>
        <w:t xml:space="preserve"> 03]; 60:1697–707. </w:t>
      </w:r>
      <w:proofErr w:type="spellStart"/>
      <w:r>
        <w:t>Available</w:t>
      </w:r>
      <w:proofErr w:type="spellEnd"/>
      <w:r>
        <w:t xml:space="preserve"> </w:t>
      </w:r>
      <w:proofErr w:type="spellStart"/>
      <w:r>
        <w:t>from</w:t>
      </w:r>
      <w:proofErr w:type="spellEnd"/>
      <w:r>
        <w:t xml:space="preserve">: </w:t>
      </w:r>
    </w:p>
    <w:p w:rsidR="0024131D" w:rsidRDefault="00F92A95">
      <w:pPr>
        <w:spacing w:line="259" w:lineRule="auto"/>
        <w:ind w:left="651" w:right="48"/>
      </w:pPr>
      <w:r>
        <w:t xml:space="preserve">[https://aasldpubs.onlinelibrary.wiley.com/doi/10.1002/hep.27290]. </w:t>
      </w:r>
    </w:p>
    <w:p w:rsidR="0024131D" w:rsidRDefault="00F92A95">
      <w:pPr>
        <w:spacing w:after="136" w:line="259" w:lineRule="auto"/>
        <w:ind w:left="0" w:right="0" w:firstLine="0"/>
        <w:jc w:val="left"/>
      </w:pPr>
      <w:r>
        <w:t xml:space="preserve"> </w:t>
      </w:r>
    </w:p>
    <w:p w:rsidR="0024131D" w:rsidRDefault="00F92A95">
      <w:pPr>
        <w:numPr>
          <w:ilvl w:val="0"/>
          <w:numId w:val="1"/>
        </w:numPr>
        <w:spacing w:after="0" w:line="259" w:lineRule="auto"/>
        <w:ind w:right="58" w:hanging="646"/>
        <w:jc w:val="left"/>
      </w:pPr>
      <w:proofErr w:type="spellStart"/>
      <w:r>
        <w:t>Kudo</w:t>
      </w:r>
      <w:proofErr w:type="spellEnd"/>
      <w:r>
        <w:t xml:space="preserve"> M, </w:t>
      </w:r>
      <w:proofErr w:type="spellStart"/>
      <w:r>
        <w:t>Ueshima</w:t>
      </w:r>
      <w:proofErr w:type="spellEnd"/>
      <w:r>
        <w:t xml:space="preserve"> K, Ikeda M, </w:t>
      </w:r>
      <w:proofErr w:type="spellStart"/>
      <w:r>
        <w:t>Torimura</w:t>
      </w:r>
      <w:proofErr w:type="spellEnd"/>
      <w:r>
        <w:t xml:space="preserve"> T, </w:t>
      </w:r>
      <w:proofErr w:type="spellStart"/>
      <w:r>
        <w:t>Tanabe</w:t>
      </w:r>
      <w:proofErr w:type="spellEnd"/>
      <w:r>
        <w:t xml:space="preserve"> N, </w:t>
      </w:r>
      <w:proofErr w:type="spellStart"/>
      <w:r>
        <w:t>Aikata</w:t>
      </w:r>
      <w:proofErr w:type="spellEnd"/>
      <w:r>
        <w:t xml:space="preserve"> H, e</w:t>
      </w:r>
      <w:r>
        <w:t xml:space="preserve">t al. Final </w:t>
      </w:r>
      <w:proofErr w:type="spellStart"/>
      <w:r>
        <w:t>Results</w:t>
      </w:r>
      <w:proofErr w:type="spellEnd"/>
      <w:r>
        <w:t xml:space="preserve"> </w:t>
      </w:r>
      <w:proofErr w:type="spellStart"/>
      <w:r>
        <w:t>of</w:t>
      </w:r>
      <w:proofErr w:type="spellEnd"/>
      <w:r>
        <w:t xml:space="preserve"> </w:t>
      </w:r>
    </w:p>
    <w:p w:rsidR="0024131D" w:rsidRPr="00F92A95" w:rsidRDefault="00F92A95">
      <w:pPr>
        <w:spacing w:after="0" w:line="259" w:lineRule="auto"/>
        <w:ind w:left="651" w:right="48"/>
        <w:rPr>
          <w:lang w:val="en-US"/>
        </w:rPr>
      </w:pPr>
      <w:r w:rsidRPr="00F92A95">
        <w:rPr>
          <w:lang w:val="en-US"/>
        </w:rPr>
        <w:t xml:space="preserve">TACTICS: A Randomized, Prospective Trial Comparing </w:t>
      </w:r>
      <w:proofErr w:type="spellStart"/>
      <w:r w:rsidRPr="00F92A95">
        <w:rPr>
          <w:lang w:val="en-US"/>
        </w:rPr>
        <w:t>Transarterial</w:t>
      </w:r>
      <w:proofErr w:type="spellEnd"/>
      <w:r w:rsidRPr="00F92A95">
        <w:rPr>
          <w:lang w:val="en-US"/>
        </w:rPr>
        <w:t xml:space="preserve"> </w:t>
      </w:r>
    </w:p>
    <w:p w:rsidR="0024131D" w:rsidRPr="00F92A95" w:rsidRDefault="00F92A95">
      <w:pPr>
        <w:spacing w:after="0" w:line="240" w:lineRule="auto"/>
        <w:ind w:left="641" w:right="58" w:firstLine="0"/>
        <w:jc w:val="left"/>
        <w:rPr>
          <w:lang w:val="en-US"/>
        </w:rPr>
      </w:pPr>
      <w:r w:rsidRPr="00F92A95">
        <w:rPr>
          <w:lang w:val="en-US"/>
        </w:rPr>
        <w:t xml:space="preserve">Chemoembolization Plus Sorafenib to </w:t>
      </w:r>
      <w:proofErr w:type="spellStart"/>
      <w:r w:rsidRPr="00F92A95">
        <w:rPr>
          <w:lang w:val="en-US"/>
        </w:rPr>
        <w:t>Transarterial</w:t>
      </w:r>
      <w:proofErr w:type="spellEnd"/>
      <w:r w:rsidRPr="00F92A95">
        <w:rPr>
          <w:lang w:val="en-US"/>
        </w:rPr>
        <w:t xml:space="preserve"> Chemoembolization Alone in Patients with Unresectable Hepatocellular Carcinoma. Liver Cancer. [Internet].  2022 Jul </w:t>
      </w:r>
      <w:r w:rsidRPr="00F92A95">
        <w:rPr>
          <w:lang w:val="en-US"/>
        </w:rPr>
        <w:t xml:space="preserve">10 Cited [2022 October 03];11(4):354–67. Available from: </w:t>
      </w:r>
    </w:p>
    <w:p w:rsidR="0024131D" w:rsidRPr="00F92A95" w:rsidRDefault="00F92A95">
      <w:pPr>
        <w:spacing w:line="238" w:lineRule="auto"/>
        <w:ind w:left="651" w:right="48"/>
        <w:rPr>
          <w:lang w:val="en-US"/>
        </w:rPr>
      </w:pPr>
      <w:r w:rsidRPr="00F92A95">
        <w:rPr>
          <w:lang w:val="en-US"/>
        </w:rPr>
        <w:lastRenderedPageBreak/>
        <w:t xml:space="preserve">[https://karger.com/lic/article/11/4/354/828612/Final-Results-of-TACTICS-ARandomized-Prospective]. </w:t>
      </w:r>
    </w:p>
    <w:p w:rsidR="0024131D" w:rsidRPr="00F92A95" w:rsidRDefault="00F92A95">
      <w:pPr>
        <w:spacing w:after="136" w:line="259" w:lineRule="auto"/>
        <w:ind w:left="0" w:right="0" w:firstLine="0"/>
        <w:jc w:val="left"/>
        <w:rPr>
          <w:lang w:val="en-US"/>
        </w:rPr>
      </w:pPr>
      <w:r w:rsidRPr="00F92A95">
        <w:rPr>
          <w:lang w:val="en-US"/>
        </w:rPr>
        <w:t xml:space="preserve"> </w:t>
      </w:r>
    </w:p>
    <w:p w:rsidR="0024131D" w:rsidRPr="00F92A95" w:rsidRDefault="00F92A95">
      <w:pPr>
        <w:numPr>
          <w:ilvl w:val="0"/>
          <w:numId w:val="1"/>
        </w:numPr>
        <w:spacing w:after="158" w:line="240" w:lineRule="auto"/>
        <w:ind w:right="58" w:hanging="646"/>
        <w:jc w:val="left"/>
        <w:rPr>
          <w:lang w:val="en-US"/>
        </w:rPr>
      </w:pPr>
      <w:proofErr w:type="spellStart"/>
      <w:r w:rsidRPr="00F92A95">
        <w:rPr>
          <w:lang w:val="en-US"/>
        </w:rPr>
        <w:t>Sansonno</w:t>
      </w:r>
      <w:proofErr w:type="spellEnd"/>
      <w:r w:rsidRPr="00F92A95">
        <w:rPr>
          <w:lang w:val="en-US"/>
        </w:rPr>
        <w:t xml:space="preserve"> D, </w:t>
      </w:r>
      <w:proofErr w:type="spellStart"/>
      <w:r w:rsidRPr="00F92A95">
        <w:rPr>
          <w:lang w:val="en-US"/>
        </w:rPr>
        <w:t>Lauletta</w:t>
      </w:r>
      <w:proofErr w:type="spellEnd"/>
      <w:r w:rsidRPr="00F92A95">
        <w:rPr>
          <w:lang w:val="en-US"/>
        </w:rPr>
        <w:t xml:space="preserve"> G, </w:t>
      </w:r>
      <w:proofErr w:type="spellStart"/>
      <w:r w:rsidRPr="00F92A95">
        <w:rPr>
          <w:lang w:val="en-US"/>
        </w:rPr>
        <w:t>Russi</w:t>
      </w:r>
      <w:proofErr w:type="spellEnd"/>
      <w:r w:rsidRPr="00F92A95">
        <w:rPr>
          <w:lang w:val="en-US"/>
        </w:rPr>
        <w:t xml:space="preserve"> S, </w:t>
      </w:r>
      <w:proofErr w:type="spellStart"/>
      <w:r w:rsidRPr="00F92A95">
        <w:rPr>
          <w:lang w:val="en-US"/>
        </w:rPr>
        <w:t>Conteduca</w:t>
      </w:r>
      <w:proofErr w:type="spellEnd"/>
      <w:r w:rsidRPr="00F92A95">
        <w:rPr>
          <w:lang w:val="en-US"/>
        </w:rPr>
        <w:t xml:space="preserve"> V, </w:t>
      </w:r>
      <w:proofErr w:type="spellStart"/>
      <w:r w:rsidRPr="00F92A95">
        <w:rPr>
          <w:lang w:val="en-US"/>
        </w:rPr>
        <w:t>Sansonno</w:t>
      </w:r>
      <w:proofErr w:type="spellEnd"/>
      <w:r w:rsidRPr="00F92A95">
        <w:rPr>
          <w:lang w:val="en-US"/>
        </w:rPr>
        <w:t xml:space="preserve"> L, </w:t>
      </w:r>
      <w:proofErr w:type="spellStart"/>
      <w:r w:rsidRPr="00F92A95">
        <w:rPr>
          <w:lang w:val="en-US"/>
        </w:rPr>
        <w:t>Dammacco</w:t>
      </w:r>
      <w:proofErr w:type="spellEnd"/>
      <w:r w:rsidRPr="00F92A95">
        <w:rPr>
          <w:lang w:val="en-US"/>
        </w:rPr>
        <w:t xml:space="preserve"> F. </w:t>
      </w:r>
      <w:proofErr w:type="spellStart"/>
      <w:r w:rsidRPr="00F92A95">
        <w:rPr>
          <w:lang w:val="en-US"/>
        </w:rPr>
        <w:t>Transarterial</w:t>
      </w:r>
      <w:proofErr w:type="spellEnd"/>
      <w:r w:rsidRPr="00F92A95">
        <w:rPr>
          <w:lang w:val="en-US"/>
        </w:rPr>
        <w:t xml:space="preserve"> Chemoemboliz</w:t>
      </w:r>
      <w:r w:rsidRPr="00F92A95">
        <w:rPr>
          <w:lang w:val="en-US"/>
        </w:rPr>
        <w:t>ation Plus Sorafenib: A Sequential Therapeutic Scheme for HCV-Related Intermediate-Stage Hepatocellular Carcinoma: A Randomized Clinical Trial. Oncologist. [Internet]. 2012 Mar 1 Cited [2022 October 04]. ;17(3):359– 66. Available from: [https://www.ncbi.nl</w:t>
      </w:r>
      <w:r w:rsidRPr="00F92A95">
        <w:rPr>
          <w:lang w:val="en-US"/>
        </w:rPr>
        <w:t xml:space="preserve">m.nih.gov/pmc/articles/PMC3316921/]. </w:t>
      </w:r>
    </w:p>
    <w:p w:rsidR="0024131D" w:rsidRPr="00F92A95" w:rsidRDefault="00F92A95">
      <w:pPr>
        <w:spacing w:after="134" w:line="259" w:lineRule="auto"/>
        <w:ind w:left="0" w:right="0" w:firstLine="0"/>
        <w:jc w:val="left"/>
        <w:rPr>
          <w:lang w:val="en-US"/>
        </w:rPr>
      </w:pPr>
      <w:r w:rsidRPr="00F92A95">
        <w:rPr>
          <w:lang w:val="en-US"/>
        </w:rPr>
        <w:t xml:space="preserve"> </w:t>
      </w:r>
    </w:p>
    <w:p w:rsidR="0024131D" w:rsidRPr="00F92A95" w:rsidRDefault="00F92A95">
      <w:pPr>
        <w:numPr>
          <w:ilvl w:val="0"/>
          <w:numId w:val="1"/>
        </w:numPr>
        <w:spacing w:after="158" w:line="240" w:lineRule="auto"/>
        <w:ind w:right="58" w:hanging="646"/>
        <w:jc w:val="left"/>
        <w:rPr>
          <w:lang w:val="en-US"/>
        </w:rPr>
      </w:pPr>
      <w:r w:rsidRPr="00F92A95">
        <w:rPr>
          <w:lang w:val="en-US"/>
        </w:rPr>
        <w:t xml:space="preserve">Gish RG, Gordon SC, Nelson D, </w:t>
      </w:r>
      <w:proofErr w:type="spellStart"/>
      <w:r w:rsidRPr="00F92A95">
        <w:rPr>
          <w:lang w:val="en-US"/>
        </w:rPr>
        <w:t>Rustgi</w:t>
      </w:r>
      <w:proofErr w:type="spellEnd"/>
      <w:r w:rsidRPr="00F92A95">
        <w:rPr>
          <w:lang w:val="en-US"/>
        </w:rPr>
        <w:t xml:space="preserve"> V, Rios I. A randomized controlled trial of </w:t>
      </w:r>
      <w:proofErr w:type="spellStart"/>
      <w:r w:rsidRPr="00F92A95">
        <w:rPr>
          <w:lang w:val="en-US"/>
        </w:rPr>
        <w:t>thymalfasin</w:t>
      </w:r>
      <w:proofErr w:type="spellEnd"/>
      <w:r w:rsidRPr="00F92A95">
        <w:rPr>
          <w:lang w:val="en-US"/>
        </w:rPr>
        <w:t xml:space="preserve"> plus </w:t>
      </w:r>
      <w:proofErr w:type="spellStart"/>
      <w:r w:rsidRPr="00F92A95">
        <w:rPr>
          <w:lang w:val="en-US"/>
        </w:rPr>
        <w:t>transarterial</w:t>
      </w:r>
      <w:proofErr w:type="spellEnd"/>
      <w:r w:rsidRPr="00F92A95">
        <w:rPr>
          <w:lang w:val="en-US"/>
        </w:rPr>
        <w:t xml:space="preserve"> chemoembolization for unresectable hepatocellular carcinoma. </w:t>
      </w:r>
      <w:proofErr w:type="spellStart"/>
      <w:r>
        <w:t>Hepatol</w:t>
      </w:r>
      <w:proofErr w:type="spellEnd"/>
      <w:r>
        <w:t xml:space="preserve"> Int. [Internet]. </w:t>
      </w:r>
      <w:r w:rsidRPr="00F92A95">
        <w:rPr>
          <w:lang w:val="en-US"/>
        </w:rPr>
        <w:t xml:space="preserve">2009 </w:t>
      </w:r>
      <w:r w:rsidRPr="00F92A95">
        <w:rPr>
          <w:lang w:val="en-US"/>
        </w:rPr>
        <w:t xml:space="preserve">Cited [2022 Oct 04];3(3):480–9. Available from: [https://pubmed.ncbi.nlm.nih.gov/19669251/]. </w:t>
      </w:r>
    </w:p>
    <w:p w:rsidR="0024131D" w:rsidRPr="00F92A95" w:rsidRDefault="00F92A95">
      <w:pPr>
        <w:spacing w:after="136" w:line="259" w:lineRule="auto"/>
        <w:ind w:left="0" w:right="0" w:firstLine="0"/>
        <w:jc w:val="left"/>
        <w:rPr>
          <w:lang w:val="en-US"/>
        </w:rPr>
      </w:pPr>
      <w:r w:rsidRPr="00F92A95">
        <w:rPr>
          <w:lang w:val="en-US"/>
        </w:rPr>
        <w:t xml:space="preserve"> </w:t>
      </w:r>
    </w:p>
    <w:p w:rsidR="0024131D" w:rsidRDefault="00F92A95">
      <w:pPr>
        <w:numPr>
          <w:ilvl w:val="0"/>
          <w:numId w:val="1"/>
        </w:numPr>
        <w:spacing w:after="158" w:line="240" w:lineRule="auto"/>
        <w:ind w:right="58" w:hanging="646"/>
        <w:jc w:val="left"/>
      </w:pPr>
      <w:r w:rsidRPr="00F92A95">
        <w:rPr>
          <w:lang w:val="en-US"/>
        </w:rPr>
        <w:t xml:space="preserve">Chang Y, </w:t>
      </w:r>
      <w:proofErr w:type="spellStart"/>
      <w:r w:rsidRPr="00F92A95">
        <w:rPr>
          <w:lang w:val="en-US"/>
        </w:rPr>
        <w:t>Jeong</w:t>
      </w:r>
      <w:proofErr w:type="spellEnd"/>
      <w:r w:rsidRPr="00F92A95">
        <w:rPr>
          <w:lang w:val="en-US"/>
        </w:rPr>
        <w:t xml:space="preserve"> SW, Jang JY, Kim YJ. Recent updates of </w:t>
      </w:r>
      <w:proofErr w:type="spellStart"/>
      <w:r w:rsidRPr="00F92A95">
        <w:rPr>
          <w:lang w:val="en-US"/>
        </w:rPr>
        <w:t>transarterial</w:t>
      </w:r>
      <w:proofErr w:type="spellEnd"/>
      <w:r w:rsidRPr="00F92A95">
        <w:rPr>
          <w:lang w:val="en-US"/>
        </w:rPr>
        <w:t xml:space="preserve"> </w:t>
      </w:r>
      <w:proofErr w:type="spellStart"/>
      <w:r w:rsidRPr="00F92A95">
        <w:rPr>
          <w:lang w:val="en-US"/>
        </w:rPr>
        <w:t>chemoembolilzation</w:t>
      </w:r>
      <w:proofErr w:type="spellEnd"/>
      <w:r w:rsidRPr="00F92A95">
        <w:rPr>
          <w:lang w:val="en-US"/>
        </w:rPr>
        <w:t xml:space="preserve"> in hepatocellular carcinoma. Vol. 21, International Journal of Molecular </w:t>
      </w:r>
      <w:r w:rsidRPr="00F92A95">
        <w:rPr>
          <w:lang w:val="en-US"/>
        </w:rPr>
        <w:t xml:space="preserve">Sciences. MDPI AG; [Internet] 2020. Cited [2023 Sep 20]. p. 1–20. </w:t>
      </w:r>
      <w:proofErr w:type="spellStart"/>
      <w:r>
        <w:t>Available</w:t>
      </w:r>
      <w:proofErr w:type="spellEnd"/>
      <w:r>
        <w:t xml:space="preserve"> </w:t>
      </w:r>
      <w:proofErr w:type="spellStart"/>
      <w:r>
        <w:t>from</w:t>
      </w:r>
      <w:proofErr w:type="spellEnd"/>
      <w:r>
        <w:t xml:space="preserve">: [https://www.mdpi.com/1422-0067/21/21/8165]. </w:t>
      </w:r>
    </w:p>
    <w:p w:rsidR="0024131D" w:rsidRDefault="00F92A95">
      <w:pPr>
        <w:spacing w:after="136" w:line="259" w:lineRule="auto"/>
        <w:ind w:left="0" w:right="0" w:firstLine="0"/>
        <w:jc w:val="left"/>
      </w:pPr>
      <w:r>
        <w:t xml:space="preserve"> </w:t>
      </w:r>
    </w:p>
    <w:p w:rsidR="0024131D" w:rsidRDefault="00F92A95">
      <w:pPr>
        <w:spacing w:after="0" w:line="259" w:lineRule="auto"/>
        <w:ind w:left="0" w:right="0" w:firstLine="0"/>
        <w:jc w:val="left"/>
      </w:pPr>
      <w:r>
        <w:t xml:space="preserve">  </w:t>
      </w:r>
    </w:p>
    <w:sectPr w:rsidR="0024131D">
      <w:pgSz w:w="11906" w:h="16838"/>
      <w:pgMar w:top="1142" w:right="1640" w:bottom="181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E6798"/>
    <w:multiLevelType w:val="hybridMultilevel"/>
    <w:tmpl w:val="048E087A"/>
    <w:lvl w:ilvl="0" w:tplc="8A6020AE">
      <w:start w:val="1"/>
      <w:numFmt w:val="decimal"/>
      <w:lvlText w:val="%1."/>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3457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272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E63A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03A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EC82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5463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E48E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465B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31D"/>
    <w:rsid w:val="0024131D"/>
    <w:rsid w:val="00F92A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AC609-F962-42B1-8E6F-17F97EF1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4" w:line="365" w:lineRule="auto"/>
      <w:ind w:left="5536" w:right="61"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278"/>
      <w:ind w:left="516" w:hanging="10"/>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278"/>
      <w:ind w:left="516" w:hanging="10"/>
      <w:outlineLvl w:val="1"/>
    </w:pPr>
    <w:rPr>
      <w:rFonts w:ascii="Times New Roman" w:eastAsia="Times New Roman" w:hAnsi="Times New Roman" w:cs="Times New Roman"/>
      <w:b/>
      <w:color w:val="000000"/>
      <w:sz w:val="24"/>
    </w:rPr>
  </w:style>
  <w:style w:type="paragraph" w:styleId="Ttulo3">
    <w:name w:val="heading 3"/>
    <w:next w:val="Normal"/>
    <w:link w:val="Ttulo3Char"/>
    <w:uiPriority w:val="9"/>
    <w:unhideWhenUsed/>
    <w:qFormat/>
    <w:pPr>
      <w:keepNext/>
      <w:keepLines/>
      <w:spacing w:after="278"/>
      <w:ind w:left="516" w:hanging="10"/>
      <w:outlineLvl w:val="2"/>
    </w:pPr>
    <w:rPr>
      <w:rFonts w:ascii="Times New Roman" w:eastAsia="Times New Roman" w:hAnsi="Times New Roman" w:cs="Times New Roman"/>
      <w:b/>
      <w:color w:val="000000"/>
      <w:sz w:val="24"/>
    </w:rPr>
  </w:style>
  <w:style w:type="paragraph" w:styleId="Ttulo4">
    <w:name w:val="heading 4"/>
    <w:next w:val="Normal"/>
    <w:link w:val="Ttulo4Char"/>
    <w:uiPriority w:val="9"/>
    <w:semiHidden/>
    <w:unhideWhenUsed/>
    <w:qFormat/>
    <w:pPr>
      <w:keepNext/>
      <w:keepLines/>
      <w:spacing w:after="276"/>
      <w:ind w:left="516" w:hanging="10"/>
      <w:jc w:val="center"/>
      <w:outlineLvl w:val="3"/>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Ttulo3Char">
    <w:name w:val="Título 3 Char"/>
    <w:link w:val="Ttulo3"/>
    <w:rPr>
      <w:rFonts w:ascii="Times New Roman" w:eastAsia="Times New Roman" w:hAnsi="Times New Roman" w:cs="Times New Roman"/>
      <w:b/>
      <w:color w:val="000000"/>
      <w:sz w:val="24"/>
    </w:rPr>
  </w:style>
  <w:style w:type="character" w:customStyle="1" w:styleId="Ttulo4Char">
    <w:name w:val="Título 4 Char"/>
    <w:link w:val="Ttulo4"/>
    <w:rPr>
      <w:rFonts w:ascii="Times New Roman" w:eastAsia="Times New Roman" w:hAnsi="Times New Roman" w:cs="Times New Roman"/>
      <w:b/>
      <w:color w:val="000000"/>
      <w:sz w:val="24"/>
    </w:rPr>
  </w:style>
  <w:style w:type="paragraph" w:styleId="Sumrio1">
    <w:name w:val="toc 1"/>
    <w:hidden/>
    <w:pPr>
      <w:spacing w:after="221"/>
      <w:ind w:left="599" w:right="67" w:hanging="10"/>
    </w:pPr>
    <w:rPr>
      <w:rFonts w:ascii="Times New Roman" w:eastAsia="Times New Roman" w:hAnsi="Times New Roman" w:cs="Times New Roman"/>
      <w:b/>
      <w:color w:val="000000"/>
      <w:sz w:val="24"/>
    </w:rPr>
  </w:style>
  <w:style w:type="paragraph" w:styleId="Sumrio2">
    <w:name w:val="toc 2"/>
    <w:hidden/>
    <w:pPr>
      <w:spacing w:after="221"/>
      <w:ind w:left="815" w:right="69" w:hanging="10"/>
      <w:jc w:val="both"/>
    </w:pPr>
    <w:rPr>
      <w:rFonts w:ascii="Times New Roman" w:eastAsia="Times New Roman" w:hAnsi="Times New Roman" w:cs="Times New Roman"/>
      <w:color w:val="000000"/>
      <w:sz w:val="24"/>
    </w:rPr>
  </w:style>
  <w:style w:type="paragraph" w:styleId="Sumrio3">
    <w:name w:val="toc 3"/>
    <w:hidden/>
    <w:pPr>
      <w:spacing w:after="221"/>
      <w:ind w:left="815" w:right="69" w:hanging="10"/>
      <w:jc w:val="both"/>
    </w:pPr>
    <w:rPr>
      <w:rFonts w:ascii="Times New Roman" w:eastAsia="Times New Roman" w:hAnsi="Times New Roman" w:cs="Times New Roman"/>
      <w:color w:val="000000"/>
      <w:sz w:val="24"/>
    </w:rPr>
  </w:style>
  <w:style w:type="paragraph" w:styleId="Sumrio4">
    <w:name w:val="toc 4"/>
    <w:hidden/>
    <w:pPr>
      <w:spacing w:after="218"/>
      <w:ind w:left="599" w:right="67" w:hanging="10"/>
    </w:pPr>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9114</Words>
  <Characters>49218</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Freire</dc:creator>
  <cp:keywords/>
  <cp:lastModifiedBy>CARLA DA SILVA SANTOS - BIBLIOTECA BROTAS</cp:lastModifiedBy>
  <cp:revision>2</cp:revision>
  <dcterms:created xsi:type="dcterms:W3CDTF">2024-08-05T14:59:00Z</dcterms:created>
  <dcterms:modified xsi:type="dcterms:W3CDTF">2024-08-05T14:59:00Z</dcterms:modified>
</cp:coreProperties>
</file>