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F7" w:rsidRDefault="00622165">
      <w:pPr>
        <w:spacing w:after="8" w:line="259" w:lineRule="auto"/>
        <w:ind w:left="3184" w:right="0" w:firstLine="0"/>
        <w:jc w:val="left"/>
      </w:pPr>
      <w:r>
        <w:rPr>
          <w:noProof/>
        </w:rPr>
        <w:drawing>
          <wp:inline distT="0" distB="0" distL="0" distR="0">
            <wp:extent cx="1713230" cy="40449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7"/>
                    <a:stretch>
                      <a:fillRect/>
                    </a:stretch>
                  </pic:blipFill>
                  <pic:spPr>
                    <a:xfrm>
                      <a:off x="0" y="0"/>
                      <a:ext cx="1713230" cy="404495"/>
                    </a:xfrm>
                    <a:prstGeom prst="rect">
                      <a:avLst/>
                    </a:prstGeom>
                  </pic:spPr>
                </pic:pic>
              </a:graphicData>
            </a:graphic>
          </wp:inline>
        </w:drawing>
      </w:r>
    </w:p>
    <w:p w:rsidR="005579F7" w:rsidRDefault="00622165">
      <w:pPr>
        <w:spacing w:after="117" w:line="259" w:lineRule="auto"/>
        <w:ind w:left="0" w:right="0" w:firstLine="0"/>
        <w:jc w:val="left"/>
      </w:pPr>
      <w:r>
        <w:rPr>
          <w:b/>
        </w:rPr>
        <w:t xml:space="preserve"> </w:t>
      </w:r>
    </w:p>
    <w:p w:rsidR="005579F7" w:rsidRDefault="00622165">
      <w:pPr>
        <w:spacing w:after="116" w:line="259" w:lineRule="auto"/>
        <w:ind w:right="4"/>
        <w:jc w:val="center"/>
      </w:pPr>
      <w:r>
        <w:rPr>
          <w:b/>
        </w:rPr>
        <w:t xml:space="preserve">CURSO DE MEDICINA </w:t>
      </w:r>
    </w:p>
    <w:p w:rsidR="005579F7" w:rsidRDefault="00622165">
      <w:pPr>
        <w:spacing w:after="117" w:line="259" w:lineRule="auto"/>
        <w:ind w:left="62" w:right="0" w:firstLine="0"/>
        <w:jc w:val="center"/>
      </w:pPr>
      <w:r>
        <w:rPr>
          <w:b/>
        </w:rPr>
        <w:t xml:space="preserve"> </w:t>
      </w:r>
    </w:p>
    <w:p w:rsidR="005579F7" w:rsidRDefault="00622165">
      <w:pPr>
        <w:spacing w:after="115" w:line="259" w:lineRule="auto"/>
        <w:ind w:left="62" w:right="0" w:firstLine="0"/>
        <w:jc w:val="center"/>
      </w:pPr>
      <w:r>
        <w:rPr>
          <w:b/>
        </w:rPr>
        <w:t xml:space="preserve"> </w:t>
      </w:r>
    </w:p>
    <w:p w:rsidR="005579F7" w:rsidRDefault="00622165">
      <w:pPr>
        <w:spacing w:after="117" w:line="259" w:lineRule="auto"/>
        <w:ind w:left="62" w:right="0" w:firstLine="0"/>
        <w:jc w:val="center"/>
      </w:pPr>
      <w:r>
        <w:rPr>
          <w:b/>
        </w:rPr>
        <w:t xml:space="preserve"> </w:t>
      </w:r>
    </w:p>
    <w:p w:rsidR="005579F7" w:rsidRDefault="00622165">
      <w:pPr>
        <w:spacing w:after="116" w:line="259" w:lineRule="auto"/>
        <w:ind w:right="8"/>
        <w:jc w:val="center"/>
      </w:pPr>
      <w:r>
        <w:rPr>
          <w:b/>
        </w:rPr>
        <w:t xml:space="preserve">ANA EMANUELA COELHO PESSOA LIMA </w:t>
      </w:r>
    </w:p>
    <w:p w:rsidR="005579F7" w:rsidRDefault="00622165">
      <w:pPr>
        <w:spacing w:after="117" w:line="259" w:lineRule="auto"/>
        <w:ind w:left="62" w:right="0" w:firstLine="0"/>
        <w:jc w:val="center"/>
      </w:pPr>
      <w:r>
        <w:rPr>
          <w:b/>
        </w:rPr>
        <w:t xml:space="preserve"> </w:t>
      </w:r>
    </w:p>
    <w:p w:rsidR="005579F7" w:rsidRDefault="00622165">
      <w:pPr>
        <w:spacing w:after="115" w:line="259" w:lineRule="auto"/>
        <w:ind w:left="62" w:right="0" w:firstLine="0"/>
        <w:jc w:val="center"/>
      </w:pPr>
      <w:r>
        <w:rPr>
          <w:b/>
        </w:rPr>
        <w:t xml:space="preserve"> </w:t>
      </w:r>
    </w:p>
    <w:p w:rsidR="005579F7" w:rsidRDefault="00622165">
      <w:pPr>
        <w:spacing w:after="117" w:line="259" w:lineRule="auto"/>
        <w:ind w:left="62" w:right="0" w:firstLine="0"/>
        <w:jc w:val="center"/>
      </w:pPr>
      <w:r>
        <w:rPr>
          <w:b/>
        </w:rPr>
        <w:t xml:space="preserve"> </w:t>
      </w:r>
    </w:p>
    <w:p w:rsidR="005579F7" w:rsidRDefault="00622165">
      <w:pPr>
        <w:spacing w:after="115" w:line="259" w:lineRule="auto"/>
        <w:ind w:left="0" w:right="0" w:firstLine="0"/>
        <w:jc w:val="left"/>
      </w:pPr>
      <w:r>
        <w:rPr>
          <w:b/>
        </w:rPr>
        <w:t xml:space="preserve"> </w:t>
      </w:r>
    </w:p>
    <w:p w:rsidR="005579F7" w:rsidRDefault="00622165">
      <w:pPr>
        <w:spacing w:after="117" w:line="259" w:lineRule="auto"/>
        <w:ind w:left="62" w:right="0" w:firstLine="0"/>
        <w:jc w:val="center"/>
      </w:pPr>
      <w:r>
        <w:rPr>
          <w:b/>
        </w:rPr>
        <w:t xml:space="preserve"> </w:t>
      </w:r>
    </w:p>
    <w:p w:rsidR="005579F7" w:rsidRDefault="00622165">
      <w:pPr>
        <w:spacing w:after="115" w:line="259" w:lineRule="auto"/>
        <w:ind w:left="62" w:right="0" w:firstLine="0"/>
        <w:jc w:val="center"/>
      </w:pPr>
      <w:r>
        <w:rPr>
          <w:b/>
        </w:rPr>
        <w:t xml:space="preserve"> </w:t>
      </w:r>
    </w:p>
    <w:p w:rsidR="005579F7" w:rsidRDefault="00622165">
      <w:pPr>
        <w:pStyle w:val="Ttulo3"/>
        <w:spacing w:after="2" w:line="359" w:lineRule="auto"/>
        <w:ind w:right="0"/>
        <w:jc w:val="center"/>
      </w:pPr>
      <w:r>
        <w:t xml:space="preserve">CERATOCONJUNTIVITE SECA E REFLEXOS PUPILARES EM PACIENTES COM AMILOIDOSE HEREDITÁRIA   </w:t>
      </w:r>
    </w:p>
    <w:p w:rsidR="005579F7" w:rsidRDefault="00622165">
      <w:pPr>
        <w:spacing w:after="115" w:line="259" w:lineRule="auto"/>
        <w:ind w:left="62" w:right="0" w:firstLine="0"/>
        <w:jc w:val="center"/>
      </w:pPr>
      <w:r>
        <w:rPr>
          <w:b/>
        </w:rPr>
        <w:t xml:space="preserve"> </w:t>
      </w:r>
    </w:p>
    <w:p w:rsidR="005579F7" w:rsidRDefault="00622165">
      <w:pPr>
        <w:spacing w:after="117" w:line="259" w:lineRule="auto"/>
        <w:ind w:left="62" w:right="0" w:firstLine="0"/>
        <w:jc w:val="center"/>
      </w:pPr>
      <w:r>
        <w:rPr>
          <w:b/>
        </w:rPr>
        <w:t xml:space="preserve"> </w:t>
      </w:r>
    </w:p>
    <w:p w:rsidR="005579F7" w:rsidRDefault="00622165">
      <w:pPr>
        <w:spacing w:after="115" w:line="259" w:lineRule="auto"/>
        <w:ind w:left="62" w:right="0" w:firstLine="0"/>
        <w:jc w:val="center"/>
      </w:pPr>
      <w:r>
        <w:rPr>
          <w:b/>
        </w:rPr>
        <w:t xml:space="preserve"> </w:t>
      </w:r>
    </w:p>
    <w:p w:rsidR="005579F7" w:rsidRDefault="00622165">
      <w:pPr>
        <w:spacing w:after="117" w:line="259" w:lineRule="auto"/>
        <w:ind w:left="62" w:right="0" w:firstLine="0"/>
        <w:jc w:val="center"/>
      </w:pPr>
      <w:r>
        <w:rPr>
          <w:b/>
        </w:rPr>
        <w:t xml:space="preserve"> </w:t>
      </w:r>
    </w:p>
    <w:p w:rsidR="005579F7" w:rsidRDefault="00622165">
      <w:pPr>
        <w:spacing w:after="115" w:line="259" w:lineRule="auto"/>
        <w:ind w:left="62" w:right="0" w:firstLine="0"/>
        <w:jc w:val="center"/>
      </w:pPr>
      <w:r>
        <w:rPr>
          <w:b/>
        </w:rP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8"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20" w:line="259" w:lineRule="auto"/>
        <w:ind w:left="62" w:right="0" w:firstLine="0"/>
        <w:jc w:val="center"/>
      </w:pPr>
      <w:r>
        <w:t xml:space="preserve"> </w:t>
      </w:r>
    </w:p>
    <w:p w:rsidR="005579F7" w:rsidRDefault="00622165">
      <w:pPr>
        <w:spacing w:after="116" w:line="259" w:lineRule="auto"/>
        <w:ind w:left="1686" w:right="1679"/>
        <w:jc w:val="center"/>
      </w:pPr>
      <w:r>
        <w:t xml:space="preserve">Salvador – Bahia </w:t>
      </w:r>
    </w:p>
    <w:p w:rsidR="005579F7" w:rsidRDefault="00622165">
      <w:pPr>
        <w:spacing w:after="116" w:line="259" w:lineRule="auto"/>
        <w:ind w:left="1686" w:right="1679"/>
        <w:jc w:val="center"/>
      </w:pPr>
      <w:r>
        <w:t xml:space="preserve">2023 </w:t>
      </w:r>
    </w:p>
    <w:p w:rsidR="005579F7" w:rsidRDefault="00622165">
      <w:pPr>
        <w:spacing w:after="115" w:line="259" w:lineRule="auto"/>
        <w:ind w:left="62" w:right="0" w:firstLine="0"/>
        <w:jc w:val="center"/>
      </w:pPr>
      <w:r>
        <w:rPr>
          <w:b/>
        </w:rPr>
        <w:lastRenderedPageBreak/>
        <w:t xml:space="preserve"> </w:t>
      </w:r>
    </w:p>
    <w:p w:rsidR="005579F7" w:rsidRDefault="00622165">
      <w:pPr>
        <w:spacing w:after="116" w:line="259" w:lineRule="auto"/>
        <w:ind w:right="8"/>
        <w:jc w:val="center"/>
      </w:pPr>
      <w:r>
        <w:rPr>
          <w:b/>
        </w:rPr>
        <w:t xml:space="preserve">ANA EMANUELA COELHO PESSOA LIMA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pStyle w:val="Ttulo3"/>
        <w:spacing w:after="2" w:line="360" w:lineRule="auto"/>
        <w:ind w:right="0"/>
        <w:jc w:val="center"/>
      </w:pPr>
      <w:r>
        <w:t xml:space="preserve">CERATOCONJUNTIVITE SECA E REFLEXOS PUPILARES EM PACIENTES COM AMILOIDOSE HEREDITÁRIA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ind w:left="4547" w:right="0"/>
      </w:pPr>
      <w:r>
        <w:t xml:space="preserve">Projeto do Trabalho de Conclusão de Curso apresentado ao curso de graduação em Medicina da Escola </w:t>
      </w:r>
      <w:proofErr w:type="spellStart"/>
      <w:r>
        <w:t>Bahiana</w:t>
      </w:r>
      <w:proofErr w:type="spellEnd"/>
      <w:r>
        <w:t xml:space="preserve"> de Medicina e Saúde Pública para aprovação par</w:t>
      </w:r>
      <w:r>
        <w:t xml:space="preserve">cial no 4º ano do curso de Medicina. </w:t>
      </w:r>
    </w:p>
    <w:p w:rsidR="005579F7" w:rsidRDefault="00622165">
      <w:pPr>
        <w:spacing w:after="115" w:line="259" w:lineRule="auto"/>
        <w:ind w:left="62" w:right="0" w:firstLine="0"/>
        <w:jc w:val="center"/>
      </w:pPr>
      <w:r>
        <w:t xml:space="preserve"> </w:t>
      </w:r>
    </w:p>
    <w:p w:rsidR="005579F7" w:rsidRDefault="00622165">
      <w:pPr>
        <w:tabs>
          <w:tab w:val="center" w:pos="5205"/>
          <w:tab w:val="center" w:pos="6446"/>
          <w:tab w:val="center" w:pos="7445"/>
          <w:tab w:val="right" w:pos="9077"/>
        </w:tabs>
        <w:spacing w:after="125" w:line="259" w:lineRule="auto"/>
        <w:ind w:left="0" w:right="0" w:firstLine="0"/>
        <w:jc w:val="left"/>
      </w:pPr>
      <w:r>
        <w:rPr>
          <w:rFonts w:ascii="Calibri" w:eastAsia="Calibri" w:hAnsi="Calibri" w:cs="Calibri"/>
          <w:sz w:val="22"/>
        </w:rPr>
        <w:tab/>
      </w:r>
      <w:r>
        <w:t xml:space="preserve">Orientadora: </w:t>
      </w:r>
      <w:r>
        <w:tab/>
        <w:t xml:space="preserve">Dra. </w:t>
      </w:r>
      <w:r>
        <w:tab/>
        <w:t xml:space="preserve">Marcela </w:t>
      </w:r>
      <w:r>
        <w:tab/>
        <w:t xml:space="preserve">Câmara </w:t>
      </w:r>
    </w:p>
    <w:p w:rsidR="005579F7" w:rsidRDefault="00622165">
      <w:pPr>
        <w:spacing w:after="116" w:line="259" w:lineRule="auto"/>
        <w:ind w:left="1686" w:right="0"/>
        <w:jc w:val="center"/>
      </w:pPr>
      <w:r>
        <w:t xml:space="preserve">Machado Costa </w:t>
      </w:r>
    </w:p>
    <w:p w:rsidR="005579F7" w:rsidRDefault="00622165">
      <w:pPr>
        <w:spacing w:after="117" w:line="259" w:lineRule="auto"/>
        <w:ind w:left="62" w:right="0" w:firstLine="0"/>
        <w:jc w:val="center"/>
      </w:pPr>
      <w:r>
        <w:t xml:space="preserve"> </w:t>
      </w:r>
    </w:p>
    <w:p w:rsidR="005579F7" w:rsidRDefault="00622165">
      <w:pPr>
        <w:ind w:left="4547" w:right="0"/>
      </w:pPr>
      <w:proofErr w:type="spellStart"/>
      <w:r>
        <w:t>Coorientadora</w:t>
      </w:r>
      <w:proofErr w:type="spellEnd"/>
      <w:r>
        <w:t xml:space="preserve">: </w:t>
      </w:r>
      <w:r>
        <w:tab/>
        <w:t xml:space="preserve">Dra. </w:t>
      </w:r>
      <w:r>
        <w:tab/>
        <w:t xml:space="preserve">Cláudia </w:t>
      </w:r>
      <w:r>
        <w:tab/>
        <w:t>Galvão Pedreira</w:t>
      </w:r>
      <w:r>
        <w:rPr>
          <w:color w:val="FF0000"/>
        </w:rPr>
        <w:t xml:space="preserve"> </w:t>
      </w:r>
    </w:p>
    <w:p w:rsidR="005579F7" w:rsidRDefault="00622165">
      <w:pPr>
        <w:spacing w:after="115" w:line="259" w:lineRule="auto"/>
        <w:ind w:left="0" w:right="0" w:firstLine="0"/>
        <w:jc w:val="left"/>
      </w:pPr>
      <w:r>
        <w:rPr>
          <w:color w:val="FF0000"/>
        </w:rPr>
        <w:t xml:space="preserve"> </w:t>
      </w:r>
    </w:p>
    <w:p w:rsidR="005579F7" w:rsidRDefault="00622165">
      <w:pPr>
        <w:spacing w:after="117" w:line="259" w:lineRule="auto"/>
        <w:ind w:left="0" w:right="0" w:firstLine="0"/>
        <w:jc w:val="left"/>
      </w:pPr>
      <w:r>
        <w:rPr>
          <w:color w:val="FF0000"/>
        </w:rPr>
        <w:t xml:space="preserve"> </w:t>
      </w:r>
    </w:p>
    <w:p w:rsidR="005579F7" w:rsidRDefault="00622165">
      <w:pPr>
        <w:spacing w:after="115" w:line="259" w:lineRule="auto"/>
        <w:ind w:left="0" w:right="0" w:firstLine="0"/>
        <w:jc w:val="left"/>
      </w:pPr>
      <w:r>
        <w:rPr>
          <w:color w:val="FF0000"/>
        </w:rPr>
        <w:t xml:space="preserve"> </w:t>
      </w:r>
    </w:p>
    <w:p w:rsidR="005579F7" w:rsidRDefault="00622165">
      <w:pPr>
        <w:spacing w:after="121" w:line="259" w:lineRule="auto"/>
        <w:ind w:left="0" w:right="0" w:firstLine="0"/>
        <w:jc w:val="left"/>
      </w:pPr>
      <w:r>
        <w:t xml:space="preserve"> </w:t>
      </w:r>
    </w:p>
    <w:p w:rsidR="005579F7" w:rsidRDefault="00622165">
      <w:pPr>
        <w:spacing w:after="116" w:line="259" w:lineRule="auto"/>
        <w:ind w:left="1686" w:right="1679"/>
        <w:jc w:val="center"/>
      </w:pPr>
      <w:r>
        <w:t xml:space="preserve">Salvador – Bahia </w:t>
      </w:r>
    </w:p>
    <w:p w:rsidR="005579F7" w:rsidRDefault="00622165">
      <w:pPr>
        <w:spacing w:after="116" w:line="259" w:lineRule="auto"/>
        <w:ind w:left="1686" w:right="1679"/>
        <w:jc w:val="center"/>
      </w:pPr>
      <w:r>
        <w:t xml:space="preserve">2023 </w:t>
      </w:r>
    </w:p>
    <w:p w:rsidR="005579F7" w:rsidRDefault="00622165">
      <w:pPr>
        <w:spacing w:after="115" w:line="259" w:lineRule="auto"/>
        <w:ind w:left="62" w:right="0" w:firstLine="0"/>
        <w:jc w:val="center"/>
      </w:pPr>
      <w:r>
        <w:rPr>
          <w:b/>
        </w:rPr>
        <w:t xml:space="preserve"> </w:t>
      </w:r>
    </w:p>
    <w:p w:rsidR="005579F7" w:rsidRDefault="00622165">
      <w:pPr>
        <w:spacing w:after="117" w:line="259" w:lineRule="auto"/>
        <w:ind w:left="62" w:right="0" w:firstLine="0"/>
        <w:jc w:val="center"/>
      </w:pPr>
      <w:r>
        <w:rPr>
          <w:b/>
        </w:rPr>
        <w:t xml:space="preserve"> </w:t>
      </w:r>
    </w:p>
    <w:p w:rsidR="005579F7" w:rsidRDefault="00622165">
      <w:pPr>
        <w:spacing w:after="115" w:line="259" w:lineRule="auto"/>
        <w:ind w:left="62" w:right="0" w:firstLine="0"/>
        <w:jc w:val="center"/>
      </w:pPr>
      <w:r>
        <w:rPr>
          <w:b/>
        </w:rPr>
        <w:t xml:space="preserve"> </w:t>
      </w:r>
    </w:p>
    <w:p w:rsidR="005579F7" w:rsidRDefault="00622165">
      <w:pPr>
        <w:spacing w:after="117" w:line="259" w:lineRule="auto"/>
        <w:ind w:left="62" w:right="0" w:firstLine="0"/>
        <w:jc w:val="center"/>
      </w:pPr>
      <w:r>
        <w:rPr>
          <w:b/>
        </w:rPr>
        <w:t xml:space="preserve"> </w:t>
      </w:r>
    </w:p>
    <w:p w:rsidR="005579F7" w:rsidRDefault="00622165">
      <w:pPr>
        <w:spacing w:after="0" w:line="259" w:lineRule="auto"/>
        <w:ind w:left="0" w:right="0" w:firstLine="0"/>
        <w:jc w:val="left"/>
      </w:pPr>
      <w:r>
        <w:rPr>
          <w:b/>
        </w:rPr>
        <w:t xml:space="preserve"> </w:t>
      </w:r>
    </w:p>
    <w:p w:rsidR="005579F7" w:rsidRDefault="00622165">
      <w:pPr>
        <w:pStyle w:val="Ttulo3"/>
        <w:spacing w:after="116"/>
        <w:ind w:right="9"/>
        <w:jc w:val="center"/>
      </w:pPr>
      <w:r>
        <w:lastRenderedPageBreak/>
        <w:t xml:space="preserve">AGRADECIMENTOS </w:t>
      </w:r>
    </w:p>
    <w:p w:rsidR="005579F7" w:rsidRDefault="00622165">
      <w:pPr>
        <w:spacing w:after="117" w:line="259" w:lineRule="auto"/>
        <w:ind w:left="62" w:right="0" w:firstLine="0"/>
        <w:jc w:val="center"/>
      </w:pPr>
      <w:r>
        <w:t xml:space="preserve"> </w:t>
      </w:r>
    </w:p>
    <w:p w:rsidR="005579F7" w:rsidRDefault="00622165">
      <w:pPr>
        <w:ind w:left="2" w:right="0"/>
      </w:pPr>
      <w:r>
        <w:t>A realização de uma pesquisa pode parecer uma jornada solitária, mas, ao concluir este projeto, percebi que é fundamental o apoio de muitas pessoas. Gostaria de expressar minha profunda gratidão a todos que desempenharam um papel significativo em minha jor</w:t>
      </w:r>
      <w:r>
        <w:t xml:space="preserve">nada até aqui. Primeiramente, agradeço a Deus, cuja força me permitiu chegar até este ponto. À minha mãe, Terezinha, minha primeira professora e constante fonte de inspiração, que me encorajou a buscar a excelência a cada dia. Ao meu pai, </w:t>
      </w:r>
      <w:proofErr w:type="spellStart"/>
      <w:r>
        <w:t>Valdevino</w:t>
      </w:r>
      <w:proofErr w:type="spellEnd"/>
      <w:r>
        <w:t>, pelo a</w:t>
      </w:r>
      <w:r>
        <w:t>poio inabalável em minha busca para me tornar uma médica, e por não poupar esforços para que eu alcance meus sonhos. Agradeço ao meu irmão, Eric, meu cientista do coração, por seu constante cuidado e apoio nos momentos desafiadores. À minha dedicada orient</w:t>
      </w:r>
      <w:r>
        <w:t xml:space="preserve">adora, Dra. Marcela Machado, cuja expertise foi fundamental para a realização deste trabalho, e cujo exemplo inspira o médico que desejo me tornar. Também, expresso minha profunda gratidão à minha </w:t>
      </w:r>
      <w:proofErr w:type="spellStart"/>
      <w:r>
        <w:t>coorientadora</w:t>
      </w:r>
      <w:proofErr w:type="spellEnd"/>
      <w:r>
        <w:t>, Dra. Cláudia Pedreira, cuja orientação foi e</w:t>
      </w:r>
      <w:r>
        <w:t xml:space="preserve">ssencial, quem idealizou este projeto e contribuiu significativamente para a sua realização. </w:t>
      </w:r>
    </w:p>
    <w:p w:rsidR="005579F7" w:rsidRDefault="00622165">
      <w:pPr>
        <w:spacing w:after="115" w:line="259" w:lineRule="auto"/>
        <w:ind w:left="2" w:right="0"/>
      </w:pPr>
      <w:r>
        <w:t xml:space="preserve">Quero agradecer calorosamente à equipe do Ambulatório de Doenças </w:t>
      </w:r>
    </w:p>
    <w:p w:rsidR="005579F7" w:rsidRDefault="00622165">
      <w:pPr>
        <w:ind w:left="2" w:right="0"/>
      </w:pPr>
      <w:r>
        <w:t>Neuromusculares, que todas as sextas-feiras me ensina não apenas sobre Medicina, mas também sobr</w:t>
      </w:r>
      <w:r>
        <w:t>e empatia e compaixão, fundamentais na construção deste trabalho. À equipe do Hospital Irmã Dulce, meu sincero agradecimento por me receber tão bem e por proporcionar um ambiente propício para o desenvolvimento da pesquisa. À minha professora de metodologi</w:t>
      </w:r>
      <w:r>
        <w:t xml:space="preserve">a de pesquisa, Profa. Carol Aguiar, agradeço por sua orientação e suporte inestimáveis durante todo o processo de pesquisa. Às minhas queridas amigas, </w:t>
      </w:r>
      <w:proofErr w:type="spellStart"/>
      <w:r>
        <w:t>Giuliana</w:t>
      </w:r>
      <w:proofErr w:type="spellEnd"/>
      <w:r>
        <w:t xml:space="preserve"> </w:t>
      </w:r>
      <w:proofErr w:type="spellStart"/>
      <w:r>
        <w:t>Potthoff</w:t>
      </w:r>
      <w:proofErr w:type="spellEnd"/>
      <w:r>
        <w:t xml:space="preserve"> e </w:t>
      </w:r>
      <w:proofErr w:type="spellStart"/>
      <w:r>
        <w:t>Stefania</w:t>
      </w:r>
      <w:proofErr w:type="spellEnd"/>
      <w:r>
        <w:t xml:space="preserve"> </w:t>
      </w:r>
      <w:proofErr w:type="spellStart"/>
      <w:r>
        <w:t>Zingone</w:t>
      </w:r>
      <w:proofErr w:type="spellEnd"/>
      <w:r>
        <w:t xml:space="preserve">, cujo apoio e amizade foram fundamentais durante a construção deste </w:t>
      </w:r>
      <w:r>
        <w:t>trabalho. Por fim, gostaria de expressar minha sincera gratidão aos pacientes e suas famílias que generosamente colaboraram com a pesquisa, compartilhando suas experiências e ensinando-me valiosas lições sobre resiliência e determinação. Este trabalho repr</w:t>
      </w:r>
      <w:r>
        <w:t xml:space="preserve">esenta o resultado de uma jornada árdua e repleta de aprendizado, e não seria possível sem o apoio e a contribuição de todos aqueles que mencionei acima. A cada um de vocês, minha mais profunda gratidão.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pStyle w:val="Ttulo3"/>
        <w:spacing w:after="116"/>
        <w:ind w:right="8"/>
        <w:jc w:val="center"/>
      </w:pPr>
      <w:r>
        <w:lastRenderedPageBreak/>
        <w:t xml:space="preserve">RESUMO  </w:t>
      </w:r>
    </w:p>
    <w:p w:rsidR="005579F7" w:rsidRDefault="00622165">
      <w:pPr>
        <w:spacing w:after="0" w:line="259" w:lineRule="auto"/>
        <w:ind w:left="0" w:right="0" w:firstLine="0"/>
        <w:jc w:val="left"/>
      </w:pPr>
      <w:r>
        <w:rPr>
          <w:i/>
        </w:rPr>
        <w:t xml:space="preserve"> </w:t>
      </w:r>
    </w:p>
    <w:p w:rsidR="005579F7" w:rsidRDefault="00622165">
      <w:pPr>
        <w:spacing w:after="0" w:line="240" w:lineRule="auto"/>
        <w:ind w:left="-5" w:right="-11"/>
        <w:jc w:val="left"/>
      </w:pPr>
      <w:r>
        <w:rPr>
          <w:i/>
        </w:rPr>
        <w:t xml:space="preserve">Lima A.E. </w:t>
      </w:r>
      <w:r>
        <w:rPr>
          <w:i/>
        </w:rPr>
        <w:t xml:space="preserve">Avaliação de Ceratoconjuntivite Seca e alterações pupilares em pacientes com </w:t>
      </w:r>
      <w:proofErr w:type="spellStart"/>
      <w:r>
        <w:rPr>
          <w:i/>
        </w:rPr>
        <w:t>Amiloidose</w:t>
      </w:r>
      <w:proofErr w:type="spellEnd"/>
      <w:r>
        <w:rPr>
          <w:i/>
        </w:rPr>
        <w:t xml:space="preserve"> Hereditária, 2023; </w:t>
      </w:r>
    </w:p>
    <w:p w:rsidR="005579F7" w:rsidRDefault="00622165">
      <w:pPr>
        <w:spacing w:line="240" w:lineRule="auto"/>
        <w:ind w:left="2" w:right="0"/>
      </w:pPr>
      <w:r>
        <w:rPr>
          <w:b/>
        </w:rPr>
        <w:t>INTRODUÇÃO</w:t>
      </w:r>
      <w:r>
        <w:t xml:space="preserve">: </w:t>
      </w:r>
      <w:bookmarkStart w:id="0" w:name="_GoBack"/>
      <w:r>
        <w:t xml:space="preserve">A </w:t>
      </w:r>
      <w:proofErr w:type="spellStart"/>
      <w:r>
        <w:t>Amiloidose</w:t>
      </w:r>
      <w:proofErr w:type="spellEnd"/>
      <w:r>
        <w:t xml:space="preserve"> Hereditária é uma doença genética de padrão autossômico dominante, decorrente de mutações no gene da </w:t>
      </w:r>
      <w:proofErr w:type="spellStart"/>
      <w:r>
        <w:t>transtirretina</w:t>
      </w:r>
      <w:proofErr w:type="spellEnd"/>
      <w:r>
        <w:t>, que ge</w:t>
      </w:r>
      <w:r>
        <w:t xml:space="preserve">ra deposição de fibrilas amiloides em diferentes órgãos e tecidos. Também chamada polineuropatia </w:t>
      </w:r>
      <w:proofErr w:type="spellStart"/>
      <w:r>
        <w:t>amiloidótica</w:t>
      </w:r>
      <w:proofErr w:type="spellEnd"/>
      <w:r>
        <w:t xml:space="preserve"> familiar (</w:t>
      </w:r>
      <w:proofErr w:type="spellStart"/>
      <w:r>
        <w:t>ATTRv-pn</w:t>
      </w:r>
      <w:proofErr w:type="spellEnd"/>
      <w:r>
        <w:t xml:space="preserve">), ela manifesta-se como uma neuropatia sensitivo-motora e </w:t>
      </w:r>
      <w:proofErr w:type="spellStart"/>
      <w:r>
        <w:t>disautonomias</w:t>
      </w:r>
      <w:proofErr w:type="spellEnd"/>
      <w:r>
        <w:t>; podendo existir variados graus de repercussões sistêmi</w:t>
      </w:r>
      <w:r>
        <w:t xml:space="preserve">cas, como as oftalmológicas. Estas surgem da deposição de fibrilas amiloides em tecidos oculares, causando alterações como olho seco e distúrbios pupilares, de significativo impacto na qualidade de vida. </w:t>
      </w:r>
      <w:r>
        <w:rPr>
          <w:b/>
        </w:rPr>
        <w:t>OBJETIVO</w:t>
      </w:r>
      <w:r>
        <w:t>: Descrever a frequência de ceratoconjuntivi</w:t>
      </w:r>
      <w:r>
        <w:t xml:space="preserve">te seca e alterações pupilares em pacientes com </w:t>
      </w:r>
      <w:proofErr w:type="spellStart"/>
      <w:r>
        <w:t>Amiloidose</w:t>
      </w:r>
      <w:proofErr w:type="spellEnd"/>
      <w:r>
        <w:t xml:space="preserve"> Hereditária. </w:t>
      </w:r>
      <w:r>
        <w:rPr>
          <w:b/>
        </w:rPr>
        <w:t>METODOLOGIA</w:t>
      </w:r>
      <w:r>
        <w:t xml:space="preserve">: Trata-se de um braço de uma coorte prospectiva de um grupo de pacientes acompanhados em um ambulatório especializado em doenças neuromusculares na Bahia, bem como serviço </w:t>
      </w:r>
      <w:r>
        <w:t xml:space="preserve">de oftalmologia em hospital da Bahia, com diagnóstico genético de </w:t>
      </w:r>
      <w:proofErr w:type="spellStart"/>
      <w:r>
        <w:t>Amiloidose</w:t>
      </w:r>
      <w:proofErr w:type="spellEnd"/>
      <w:r>
        <w:t xml:space="preserve"> Hereditária. Amostra coletada por conveniência, com 37 pacientes incluídos. As variáveis analisadas foram </w:t>
      </w:r>
      <w:proofErr w:type="gramStart"/>
      <w:r>
        <w:t>dados</w:t>
      </w:r>
      <w:proofErr w:type="gramEnd"/>
      <w:r>
        <w:t xml:space="preserve"> socioeconômicos, alterações no reflexo pupilar, teste de </w:t>
      </w:r>
      <w:proofErr w:type="spellStart"/>
      <w:r>
        <w:t>Schirmer</w:t>
      </w:r>
      <w:proofErr w:type="spellEnd"/>
      <w:r>
        <w:t xml:space="preserve">, </w:t>
      </w:r>
      <w:r>
        <w:t xml:space="preserve">diâmetro pupilar, teste de ruptura do filme lacrimal e tingimento da superfície ocular. </w:t>
      </w:r>
      <w:r>
        <w:rPr>
          <w:b/>
        </w:rPr>
        <w:t>RESULTADOS</w:t>
      </w:r>
      <w:r>
        <w:rPr>
          <w:i/>
        </w:rPr>
        <w:t xml:space="preserve">: </w:t>
      </w:r>
      <w:r>
        <w:t>De 37 pacientes, 61% eram do sexo feminino com idade média de 49,22 ± 15,78 anos, 27,8% eram assintomáticos e 61,1% referiram usar algum tipo de medicamento</w:t>
      </w:r>
      <w:r>
        <w:t xml:space="preserve"> para </w:t>
      </w:r>
      <w:proofErr w:type="spellStart"/>
      <w:r>
        <w:t>ATTRv-pn</w:t>
      </w:r>
      <w:proofErr w:type="spellEnd"/>
      <w:r>
        <w:t xml:space="preserve">. A variante predominante foi a Val50Met (41,7%). Sintomas autonômicos foram relatados em 36,1% dos pacientes. O Teste de </w:t>
      </w:r>
      <w:proofErr w:type="spellStart"/>
      <w:r>
        <w:t>Schirmer</w:t>
      </w:r>
      <w:proofErr w:type="spellEnd"/>
      <w:r>
        <w:t xml:space="preserve"> teve em média 16± 10,9mm no olho direito (OD) e 18,62 ± 11,58mm no olho esquerdo (OE). O Teste de Ruptura do Fi</w:t>
      </w:r>
      <w:r>
        <w:t xml:space="preserve">lme Lacrimal foi teve em média 5,6 ± 3,9s no OD e 5,53 ± 4,24s no OE. O Índice de Doença da Superfície Ocular demonstrou que 60% de pacientes tinham </w:t>
      </w:r>
      <w:proofErr w:type="spellStart"/>
      <w:r>
        <w:t>olho-seco</w:t>
      </w:r>
      <w:proofErr w:type="spellEnd"/>
      <w:r>
        <w:t>, dos quais 70% eram assintomáticos. Quanto aos achados pupilares: 7,4% apresentaram alteração dos</w:t>
      </w:r>
      <w:r>
        <w:t xml:space="preserve"> reflexos pupilares em ambos os olhos, 13,9% pacientes tinham dissociação luz-perto. </w:t>
      </w:r>
      <w:r>
        <w:rPr>
          <w:b/>
        </w:rPr>
        <w:t xml:space="preserve">CONCLUSÃO: </w:t>
      </w:r>
      <w:r>
        <w:t xml:space="preserve">Nosso estudo demonstrou associação estatisticamente significativa de ceratoconjuntivite seca em uma amostra de pacientes diagnosticados com </w:t>
      </w:r>
      <w:proofErr w:type="spellStart"/>
      <w:r>
        <w:t>ATTRv</w:t>
      </w:r>
      <w:proofErr w:type="spellEnd"/>
      <w:r>
        <w:t>. Os resultados</w:t>
      </w:r>
      <w:r>
        <w:t xml:space="preserve"> indicam alta prevalência de sintomas oculares nesta população, enfatizando a importância de um tratamento multidisciplinar que envolva o acompanhamento oftalmológico e permita a intervenção precoce. </w:t>
      </w:r>
    </w:p>
    <w:bookmarkEnd w:id="0"/>
    <w:p w:rsidR="005579F7" w:rsidRDefault="00622165">
      <w:pPr>
        <w:spacing w:after="0" w:line="259" w:lineRule="auto"/>
        <w:ind w:left="0" w:right="0" w:firstLine="0"/>
        <w:jc w:val="left"/>
      </w:pPr>
      <w:r>
        <w:t xml:space="preserve"> </w:t>
      </w:r>
    </w:p>
    <w:p w:rsidR="005579F7" w:rsidRDefault="00622165">
      <w:pPr>
        <w:spacing w:line="259" w:lineRule="auto"/>
        <w:ind w:left="2" w:right="0"/>
      </w:pPr>
      <w:r>
        <w:t xml:space="preserve">Palavras-chave: </w:t>
      </w:r>
      <w:proofErr w:type="spellStart"/>
      <w:r>
        <w:t>Amiloidose</w:t>
      </w:r>
      <w:proofErr w:type="spellEnd"/>
      <w:r>
        <w:t>; Ceratoconjuntivite; Pupil</w:t>
      </w:r>
      <w:r>
        <w:t xml:space="preserve">a; Neuromuscular; Brasil.  </w:t>
      </w:r>
    </w:p>
    <w:p w:rsidR="005579F7" w:rsidRDefault="00622165">
      <w:pPr>
        <w:spacing w:after="118"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0" w:line="259" w:lineRule="auto"/>
        <w:ind w:left="0" w:right="0" w:firstLine="0"/>
        <w:jc w:val="left"/>
      </w:pPr>
      <w:r>
        <w:t xml:space="preserve"> </w:t>
      </w:r>
    </w:p>
    <w:p w:rsidR="005579F7" w:rsidRPr="00B1535A" w:rsidRDefault="00622165">
      <w:pPr>
        <w:pStyle w:val="Ttulo3"/>
        <w:spacing w:after="116"/>
        <w:ind w:right="8"/>
        <w:jc w:val="center"/>
        <w:rPr>
          <w:lang w:val="en-US"/>
        </w:rPr>
      </w:pPr>
      <w:r w:rsidRPr="00B1535A">
        <w:rPr>
          <w:lang w:val="en-US"/>
        </w:rPr>
        <w:lastRenderedPageBreak/>
        <w:t xml:space="preserve">ABSTRACT </w:t>
      </w:r>
    </w:p>
    <w:p w:rsidR="005579F7" w:rsidRPr="00B1535A" w:rsidRDefault="00622165">
      <w:pPr>
        <w:spacing w:after="115" w:line="259" w:lineRule="auto"/>
        <w:ind w:left="62" w:right="0" w:firstLine="0"/>
        <w:jc w:val="center"/>
        <w:rPr>
          <w:lang w:val="en-US"/>
        </w:rPr>
      </w:pPr>
      <w:r w:rsidRPr="00B1535A">
        <w:rPr>
          <w:lang w:val="en-US"/>
        </w:rPr>
        <w:t xml:space="preserve"> </w:t>
      </w:r>
    </w:p>
    <w:p w:rsidR="005579F7" w:rsidRPr="00B1535A" w:rsidRDefault="00622165">
      <w:pPr>
        <w:spacing w:after="0" w:line="240" w:lineRule="auto"/>
        <w:ind w:left="-5" w:right="-11"/>
        <w:jc w:val="left"/>
        <w:rPr>
          <w:lang w:val="en-US"/>
        </w:rPr>
      </w:pPr>
      <w:r w:rsidRPr="00B1535A">
        <w:rPr>
          <w:i/>
          <w:lang w:val="en-US"/>
        </w:rPr>
        <w:t xml:space="preserve">Lima A.E. Lima A.E. Evaluation of Dry Eye and Pupillary Alterations in Patients with Hereditary Amyloidosis, 2023; </w:t>
      </w:r>
    </w:p>
    <w:p w:rsidR="005579F7" w:rsidRPr="00B1535A" w:rsidRDefault="00622165">
      <w:pPr>
        <w:spacing w:line="239" w:lineRule="auto"/>
        <w:ind w:left="2" w:right="0"/>
        <w:rPr>
          <w:lang w:val="en-US"/>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4502480</wp:posOffset>
                </wp:positionH>
                <wp:positionV relativeFrom="paragraph">
                  <wp:posOffset>2273427</wp:posOffset>
                </wp:positionV>
                <wp:extent cx="41148" cy="175260"/>
                <wp:effectExtent l="0" t="0" r="0" b="0"/>
                <wp:wrapNone/>
                <wp:docPr id="27841" name="Group 27841"/>
                <wp:cNvGraphicFramePr/>
                <a:graphic xmlns:a="http://schemas.openxmlformats.org/drawingml/2006/main">
                  <a:graphicData uri="http://schemas.microsoft.com/office/word/2010/wordprocessingGroup">
                    <wpg:wgp>
                      <wpg:cNvGrpSpPr/>
                      <wpg:grpSpPr>
                        <a:xfrm>
                          <a:off x="0" y="0"/>
                          <a:ext cx="41148" cy="175260"/>
                          <a:chOff x="0" y="0"/>
                          <a:chExt cx="41148" cy="175260"/>
                        </a:xfrm>
                      </wpg:grpSpPr>
                      <wps:wsp>
                        <wps:cNvPr id="36612" name="Shape 36612"/>
                        <wps:cNvSpPr/>
                        <wps:spPr>
                          <a:xfrm>
                            <a:off x="0" y="0"/>
                            <a:ext cx="41148" cy="175260"/>
                          </a:xfrm>
                          <a:custGeom>
                            <a:avLst/>
                            <a:gdLst/>
                            <a:ahLst/>
                            <a:cxnLst/>
                            <a:rect l="0" t="0" r="0" b="0"/>
                            <a:pathLst>
                              <a:path w="41148" h="175260">
                                <a:moveTo>
                                  <a:pt x="0" y="0"/>
                                </a:moveTo>
                                <a:lnTo>
                                  <a:pt x="41148" y="0"/>
                                </a:lnTo>
                                <a:lnTo>
                                  <a:pt x="41148" y="175260"/>
                                </a:lnTo>
                                <a:lnTo>
                                  <a:pt x="0" y="17526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7841" style="width:3.23999pt;height:13.8pt;position:absolute;z-index:-2147483616;mso-position-horizontal-relative:text;mso-position-horizontal:absolute;margin-left:354.526pt;mso-position-vertical-relative:text;margin-top:179.01pt;" coordsize="411,1752">
                <v:shape id="Shape 36613" style="position:absolute;width:411;height:1752;left:0;top:0;" coordsize="41148,175260" path="m0,0l41148,0l41148,175260l0,175260l0,0">
                  <v:stroke weight="0pt" endcap="flat" joinstyle="miter" miterlimit="10" on="false" color="#000000" opacity="0"/>
                  <v:fill on="true" color="#f7f7f8"/>
                </v:shape>
              </v:group>
            </w:pict>
          </mc:Fallback>
        </mc:AlternateContent>
      </w:r>
      <w:r w:rsidRPr="00B1535A">
        <w:rPr>
          <w:b/>
          <w:lang w:val="en-US"/>
        </w:rPr>
        <w:t xml:space="preserve">INTRODUCTION: </w:t>
      </w:r>
      <w:r w:rsidRPr="00B1535A">
        <w:rPr>
          <w:lang w:val="en-US"/>
        </w:rPr>
        <w:t>Hereditary Amyloidosis is an autosomal dominant genetic disease resulting from mutations in the transthyretin gene, leading to the deposition of amyloid fibrils in various organs and tissues. Also known as familial amyloidotic polyneuropathy (</w:t>
      </w:r>
      <w:proofErr w:type="spellStart"/>
      <w:r w:rsidRPr="00B1535A">
        <w:rPr>
          <w:lang w:val="en-US"/>
        </w:rPr>
        <w:t>ATTRv-pn</w:t>
      </w:r>
      <w:proofErr w:type="spellEnd"/>
      <w:r w:rsidRPr="00B1535A">
        <w:rPr>
          <w:lang w:val="en-US"/>
        </w:rPr>
        <w:t>), it</w:t>
      </w:r>
      <w:r w:rsidRPr="00B1535A">
        <w:rPr>
          <w:lang w:val="en-US"/>
        </w:rPr>
        <w:t xml:space="preserve"> manifests as a sensory-motor neuropathy and dysautonomia, with various degrees of systemic repercussions, including ophthalmological ones. These arise from the deposition of amyloid fibrils in ocular tissues, causing alterations such as dry eye and pupil </w:t>
      </w:r>
      <w:r w:rsidRPr="00B1535A">
        <w:rPr>
          <w:lang w:val="en-US"/>
        </w:rPr>
        <w:t xml:space="preserve">disorders, significantly impacting the quality of life. </w:t>
      </w:r>
      <w:r w:rsidRPr="00B1535A">
        <w:rPr>
          <w:b/>
          <w:lang w:val="en-US"/>
        </w:rPr>
        <w:t xml:space="preserve">OBJECTIVE: </w:t>
      </w:r>
      <w:r w:rsidRPr="00B1535A">
        <w:rPr>
          <w:lang w:val="en-US"/>
        </w:rPr>
        <w:t xml:space="preserve">To describe the frequency of dry eye and pupil alterations in patients with Hereditary Amyloidosis. </w:t>
      </w:r>
      <w:r w:rsidRPr="00B1535A">
        <w:rPr>
          <w:b/>
          <w:lang w:val="en-US"/>
        </w:rPr>
        <w:t xml:space="preserve">METHODOLOGY: </w:t>
      </w:r>
      <w:r w:rsidRPr="00B1535A">
        <w:rPr>
          <w:lang w:val="en-US"/>
        </w:rPr>
        <w:t xml:space="preserve">This is a branch of a prospective cohort of a group of patients followed in </w:t>
      </w:r>
      <w:r w:rsidRPr="00B1535A">
        <w:rPr>
          <w:lang w:val="en-US"/>
        </w:rPr>
        <w:t>a specialized clinic for neuromuscular diseases in Bahia, as well as an ophthalmology service in a Bahia hospital, with a genetic diagnosis of Hereditary Amyloidosis. A convenience sample of 37 patients was included. The variables analyzed included socioec</w:t>
      </w:r>
      <w:r w:rsidRPr="00B1535A">
        <w:rPr>
          <w:lang w:val="en-US"/>
        </w:rPr>
        <w:t>onomic data, alterations in pupil reflexes, Schirmer's test, pupil diameter, tear film break-up time, and ocular surface staining.</w:t>
      </w:r>
      <w:r w:rsidRPr="00B1535A">
        <w:rPr>
          <w:rFonts w:ascii="Segoe UI" w:eastAsia="Segoe UI" w:hAnsi="Segoe UI" w:cs="Segoe UI"/>
          <w:color w:val="374151"/>
          <w:lang w:val="en-US"/>
        </w:rPr>
        <w:t xml:space="preserve"> </w:t>
      </w:r>
      <w:r w:rsidRPr="00B1535A">
        <w:rPr>
          <w:b/>
          <w:lang w:val="en-US"/>
        </w:rPr>
        <w:t>RESULTS:</w:t>
      </w:r>
      <w:r w:rsidRPr="00B1535A">
        <w:rPr>
          <w:lang w:val="en-US"/>
        </w:rPr>
        <w:t xml:space="preserve"> Of the 37 patients, 61% were female with a mean age of 49.22 ± 15.78 years, 27.8% were asymptomatic, and 61.1% repor</w:t>
      </w:r>
      <w:r w:rsidRPr="00B1535A">
        <w:rPr>
          <w:lang w:val="en-US"/>
        </w:rPr>
        <w:t xml:space="preserve">ted using some form of medication for </w:t>
      </w:r>
      <w:proofErr w:type="spellStart"/>
      <w:r w:rsidRPr="00B1535A">
        <w:rPr>
          <w:lang w:val="en-US"/>
        </w:rPr>
        <w:t>ATTRv-pn</w:t>
      </w:r>
      <w:proofErr w:type="spellEnd"/>
      <w:r w:rsidRPr="00B1535A">
        <w:rPr>
          <w:lang w:val="en-US"/>
        </w:rPr>
        <w:t>. The predominant variant was Val50Met (41.7%). Autonomic symptoms were reported in 36.1% of patients. The Schirmer's test had an average of 16 ± 10.9 mm in the right eye (OD) and 18.62 ± 11.58 mm in the left e</w:t>
      </w:r>
      <w:r w:rsidRPr="00B1535A">
        <w:rPr>
          <w:lang w:val="en-US"/>
        </w:rPr>
        <w:t xml:space="preserve">ye (OE). The Tear Film Break-Up Time had an average of 5.6 ± 3.9 seconds in the OD and 5.53 ± 4.24 seconds in the OE. The Ocular Surface Disease Index demonstrated that 60% of patients had dry eye, of which 70% were asymptomatic. Regarding pupil findings: </w:t>
      </w:r>
      <w:r w:rsidRPr="00B1535A">
        <w:rPr>
          <w:lang w:val="en-US"/>
        </w:rPr>
        <w:t xml:space="preserve">7.4% had alterations in pupil reflexes in both eyes, 13.9% had near dissociation, and 100% of patients had dysautonomia. </w:t>
      </w:r>
      <w:r w:rsidRPr="00B1535A">
        <w:rPr>
          <w:b/>
          <w:lang w:val="en-US"/>
        </w:rPr>
        <w:t xml:space="preserve">CONCLUSION: </w:t>
      </w:r>
      <w:r w:rsidRPr="00B1535A">
        <w:rPr>
          <w:lang w:val="en-US"/>
        </w:rPr>
        <w:t>Our study demonstrated a statistically significant association of keratoconjunctivitis sicca in a sample of patients diagno</w:t>
      </w:r>
      <w:r w:rsidRPr="00B1535A">
        <w:rPr>
          <w:lang w:val="en-US"/>
        </w:rPr>
        <w:t xml:space="preserve">sed with </w:t>
      </w:r>
      <w:proofErr w:type="spellStart"/>
      <w:r w:rsidRPr="00B1535A">
        <w:rPr>
          <w:lang w:val="en-US"/>
        </w:rPr>
        <w:t>ATTRv</w:t>
      </w:r>
      <w:proofErr w:type="spellEnd"/>
      <w:r w:rsidRPr="00B1535A">
        <w:rPr>
          <w:lang w:val="en-US"/>
        </w:rPr>
        <w:t xml:space="preserve">. The results indicate a high prevalence of ocular symptoms in this population, emphasizing the importance of multidisciplinary treatment that involves ophthalmological monitoring and allows early intervention. </w:t>
      </w:r>
    </w:p>
    <w:p w:rsidR="005579F7" w:rsidRPr="00B1535A" w:rsidRDefault="00622165">
      <w:pPr>
        <w:spacing w:after="0" w:line="259" w:lineRule="auto"/>
        <w:ind w:left="0" w:right="0" w:firstLine="0"/>
        <w:jc w:val="left"/>
        <w:rPr>
          <w:lang w:val="en-US"/>
        </w:rPr>
      </w:pPr>
      <w:r w:rsidRPr="00B1535A">
        <w:rPr>
          <w:lang w:val="en-US"/>
        </w:rPr>
        <w:t xml:space="preserve"> </w:t>
      </w:r>
    </w:p>
    <w:p w:rsidR="005579F7" w:rsidRPr="00B1535A" w:rsidRDefault="00622165">
      <w:pPr>
        <w:spacing w:after="115" w:line="259" w:lineRule="auto"/>
        <w:ind w:left="2" w:right="0"/>
        <w:rPr>
          <w:lang w:val="en-US"/>
        </w:rPr>
      </w:pPr>
      <w:r w:rsidRPr="00B1535A">
        <w:rPr>
          <w:b/>
          <w:lang w:val="en-US"/>
        </w:rPr>
        <w:t>Keywords:</w:t>
      </w:r>
      <w:r w:rsidRPr="00B1535A">
        <w:rPr>
          <w:lang w:val="en-US"/>
        </w:rPr>
        <w:t xml:space="preserve"> Amyloidosis; Kerat</w:t>
      </w:r>
      <w:r w:rsidRPr="00B1535A">
        <w:rPr>
          <w:lang w:val="en-US"/>
        </w:rPr>
        <w:t xml:space="preserve">oconjunctivitis; Pupil; Neuromuscular; Brazil. </w:t>
      </w:r>
    </w:p>
    <w:p w:rsidR="005579F7" w:rsidRPr="00B1535A" w:rsidRDefault="00622165">
      <w:pPr>
        <w:spacing w:after="117" w:line="259" w:lineRule="auto"/>
        <w:ind w:left="62" w:right="0" w:firstLine="0"/>
        <w:jc w:val="center"/>
        <w:rPr>
          <w:lang w:val="en-US"/>
        </w:rPr>
      </w:pPr>
      <w:r w:rsidRPr="00B1535A">
        <w:rPr>
          <w:lang w:val="en-US"/>
        </w:rPr>
        <w:t xml:space="preserve"> </w:t>
      </w:r>
    </w:p>
    <w:p w:rsidR="005579F7" w:rsidRPr="00B1535A" w:rsidRDefault="00622165">
      <w:pPr>
        <w:spacing w:after="115" w:line="259" w:lineRule="auto"/>
        <w:ind w:left="62" w:right="0" w:firstLine="0"/>
        <w:jc w:val="center"/>
        <w:rPr>
          <w:lang w:val="en-US"/>
        </w:rPr>
      </w:pPr>
      <w:r w:rsidRPr="00B1535A">
        <w:rPr>
          <w:lang w:val="en-US"/>
        </w:rPr>
        <w:t xml:space="preserve"> </w:t>
      </w:r>
    </w:p>
    <w:p w:rsidR="005579F7" w:rsidRPr="00B1535A" w:rsidRDefault="00622165">
      <w:pPr>
        <w:spacing w:after="118" w:line="259" w:lineRule="auto"/>
        <w:ind w:left="62" w:right="0" w:firstLine="0"/>
        <w:jc w:val="center"/>
        <w:rPr>
          <w:lang w:val="en-US"/>
        </w:rPr>
      </w:pPr>
      <w:r w:rsidRPr="00B1535A">
        <w:rPr>
          <w:lang w:val="en-US"/>
        </w:rPr>
        <w:t xml:space="preserve"> </w:t>
      </w:r>
    </w:p>
    <w:p w:rsidR="005579F7" w:rsidRPr="00B1535A" w:rsidRDefault="00622165">
      <w:pPr>
        <w:spacing w:after="115" w:line="259" w:lineRule="auto"/>
        <w:ind w:left="62" w:right="0" w:firstLine="0"/>
        <w:jc w:val="center"/>
        <w:rPr>
          <w:lang w:val="en-US"/>
        </w:rPr>
      </w:pPr>
      <w:r w:rsidRPr="00B1535A">
        <w:rPr>
          <w:lang w:val="en-US"/>
        </w:rPr>
        <w:t xml:space="preserve"> </w:t>
      </w:r>
    </w:p>
    <w:p w:rsidR="005579F7" w:rsidRPr="00B1535A" w:rsidRDefault="00622165">
      <w:pPr>
        <w:spacing w:after="117" w:line="259" w:lineRule="auto"/>
        <w:ind w:left="62" w:right="0" w:firstLine="0"/>
        <w:jc w:val="center"/>
        <w:rPr>
          <w:lang w:val="en-US"/>
        </w:rPr>
      </w:pPr>
      <w:r w:rsidRPr="00B1535A">
        <w:rPr>
          <w:lang w:val="en-US"/>
        </w:rPr>
        <w:t xml:space="preserve"> </w:t>
      </w:r>
    </w:p>
    <w:p w:rsidR="005579F7" w:rsidRPr="00B1535A" w:rsidRDefault="00622165">
      <w:pPr>
        <w:spacing w:after="115" w:line="259" w:lineRule="auto"/>
        <w:ind w:left="62" w:right="0" w:firstLine="0"/>
        <w:jc w:val="center"/>
        <w:rPr>
          <w:lang w:val="en-US"/>
        </w:rPr>
      </w:pPr>
      <w:r w:rsidRPr="00B1535A">
        <w:rPr>
          <w:lang w:val="en-US"/>
        </w:rPr>
        <w:t xml:space="preserve"> </w:t>
      </w:r>
    </w:p>
    <w:p w:rsidR="005579F7" w:rsidRPr="00B1535A" w:rsidRDefault="00622165">
      <w:pPr>
        <w:spacing w:after="117" w:line="259" w:lineRule="auto"/>
        <w:ind w:left="62" w:right="0" w:firstLine="0"/>
        <w:jc w:val="center"/>
        <w:rPr>
          <w:lang w:val="en-US"/>
        </w:rPr>
      </w:pPr>
      <w:r w:rsidRPr="00B1535A">
        <w:rPr>
          <w:lang w:val="en-US"/>
        </w:rPr>
        <w:t xml:space="preserve"> </w:t>
      </w:r>
    </w:p>
    <w:p w:rsidR="005579F7" w:rsidRPr="00B1535A" w:rsidRDefault="00622165">
      <w:pPr>
        <w:spacing w:after="115" w:line="259" w:lineRule="auto"/>
        <w:ind w:left="62" w:right="0" w:firstLine="0"/>
        <w:jc w:val="center"/>
        <w:rPr>
          <w:lang w:val="en-US"/>
        </w:rPr>
      </w:pPr>
      <w:r w:rsidRPr="00B1535A">
        <w:rPr>
          <w:lang w:val="en-US"/>
        </w:rPr>
        <w:t xml:space="preserve"> </w:t>
      </w:r>
    </w:p>
    <w:p w:rsidR="005579F7" w:rsidRPr="00B1535A" w:rsidRDefault="00622165">
      <w:pPr>
        <w:spacing w:after="0" w:line="259" w:lineRule="auto"/>
        <w:ind w:left="62" w:right="0" w:firstLine="0"/>
        <w:jc w:val="center"/>
        <w:rPr>
          <w:lang w:val="en-US"/>
        </w:rPr>
      </w:pPr>
      <w:r w:rsidRPr="00B1535A">
        <w:rPr>
          <w:lang w:val="en-US"/>
        </w:rPr>
        <w:t xml:space="preserve"> </w:t>
      </w:r>
    </w:p>
    <w:p w:rsidR="005579F7" w:rsidRDefault="00622165">
      <w:pPr>
        <w:pStyle w:val="Ttulo3"/>
        <w:ind w:left="3107" w:right="485"/>
      </w:pPr>
      <w:r>
        <w:lastRenderedPageBreak/>
        <w:t xml:space="preserve">LISTA DE ILUSTRAÇÕES </w:t>
      </w:r>
    </w:p>
    <w:p w:rsidR="005579F7" w:rsidRDefault="00622165">
      <w:pPr>
        <w:spacing w:after="115" w:line="259" w:lineRule="auto"/>
        <w:ind w:left="0" w:right="0" w:firstLine="0"/>
        <w:jc w:val="left"/>
      </w:pPr>
      <w:r>
        <w:rPr>
          <w:b/>
        </w:rPr>
        <w:t xml:space="preserve"> </w:t>
      </w:r>
    </w:p>
    <w:p w:rsidR="005579F7" w:rsidRDefault="00622165">
      <w:pPr>
        <w:spacing w:after="118" w:line="259" w:lineRule="auto"/>
        <w:ind w:left="2" w:right="0"/>
      </w:pPr>
      <w:r>
        <w:rPr>
          <w:b/>
        </w:rPr>
        <w:t xml:space="preserve">Figura 01 – </w:t>
      </w:r>
      <w:r>
        <w:t xml:space="preserve">Paciente com </w:t>
      </w:r>
      <w:proofErr w:type="spellStart"/>
      <w:r>
        <w:t>ATTRv</w:t>
      </w:r>
      <w:proofErr w:type="spellEnd"/>
      <w:r>
        <w:t xml:space="preserve"> ao final do Teste de </w:t>
      </w:r>
      <w:proofErr w:type="spellStart"/>
      <w:r>
        <w:t>Schirmer</w:t>
      </w:r>
      <w:proofErr w:type="spellEnd"/>
      <w:r>
        <w:t xml:space="preserve"> II                           22</w:t>
      </w:r>
      <w:r>
        <w:rPr>
          <w:b/>
        </w:rPr>
        <w:t xml:space="preserve"> </w:t>
      </w:r>
    </w:p>
    <w:p w:rsidR="005579F7" w:rsidRDefault="00622165">
      <w:pPr>
        <w:spacing w:after="116" w:line="259" w:lineRule="auto"/>
        <w:ind w:left="2" w:right="0"/>
      </w:pPr>
      <w:r>
        <w:rPr>
          <w:b/>
        </w:rPr>
        <w:t xml:space="preserve">Figura 02 – </w:t>
      </w:r>
      <w:r>
        <w:t xml:space="preserve">Escala de Escore IDSO                           </w:t>
      </w:r>
      <w:r>
        <w:rPr>
          <w:b/>
        </w:rPr>
        <w:t xml:space="preserve">                                               </w:t>
      </w:r>
      <w:r>
        <w:t>27</w:t>
      </w:r>
      <w:r>
        <w:rPr>
          <w:b/>
        </w:rPr>
        <w:t xml:space="preserve">                  </w:t>
      </w:r>
    </w:p>
    <w:p w:rsidR="005579F7" w:rsidRDefault="00622165">
      <w:pPr>
        <w:ind w:left="2" w:right="0"/>
      </w:pPr>
      <w:r>
        <w:rPr>
          <w:b/>
        </w:rPr>
        <w:t xml:space="preserve">Figura 03 – </w:t>
      </w:r>
      <w:r>
        <w:t xml:space="preserve">Paciente ao final do Teste de </w:t>
      </w:r>
      <w:proofErr w:type="spellStart"/>
      <w:r>
        <w:t>Schirmer</w:t>
      </w:r>
      <w:proofErr w:type="spellEnd"/>
      <w:r>
        <w:t xml:space="preserve"> II com resultado abaixo do esperado para população sem alterações de olho seco.                                            28</w:t>
      </w:r>
      <w:r>
        <w:rPr>
          <w:b/>
        </w:rPr>
        <w:t xml:space="preserve"> </w:t>
      </w:r>
    </w:p>
    <w:p w:rsidR="005579F7" w:rsidRDefault="00622165">
      <w:pPr>
        <w:ind w:left="2" w:right="0"/>
      </w:pPr>
      <w:r>
        <w:rPr>
          <w:b/>
        </w:rPr>
        <w:t xml:space="preserve">Figura 04 </w:t>
      </w:r>
      <w:r>
        <w:rPr>
          <w:b/>
        </w:rPr>
        <w:t xml:space="preserve">– </w:t>
      </w:r>
      <w:r>
        <w:t xml:space="preserve">Presença de ceratoconjuntivite seca em paciente com </w:t>
      </w:r>
      <w:proofErr w:type="spellStart"/>
      <w:r>
        <w:t>Amiloidose</w:t>
      </w:r>
      <w:proofErr w:type="spellEnd"/>
      <w:r>
        <w:t xml:space="preserve"> ATTR                  28</w:t>
      </w:r>
      <w:r>
        <w:rPr>
          <w:b/>
        </w:rPr>
        <w:t xml:space="preserve"> </w:t>
      </w:r>
    </w:p>
    <w:p w:rsidR="005579F7" w:rsidRDefault="00622165">
      <w:pPr>
        <w:spacing w:after="118" w:line="259" w:lineRule="auto"/>
        <w:ind w:left="2" w:right="0"/>
      </w:pPr>
      <w:r>
        <w:rPr>
          <w:b/>
        </w:rPr>
        <w:t xml:space="preserve">Figura 05 – </w:t>
      </w:r>
      <w:r>
        <w:t xml:space="preserve">Paciente com </w:t>
      </w:r>
      <w:proofErr w:type="spellStart"/>
      <w:r>
        <w:t>ATTRv</w:t>
      </w:r>
      <w:proofErr w:type="spellEnd"/>
      <w:r>
        <w:t xml:space="preserve"> com </w:t>
      </w:r>
      <w:proofErr w:type="spellStart"/>
      <w:r>
        <w:t>anisocoria</w:t>
      </w:r>
      <w:proofErr w:type="spellEnd"/>
      <w:r>
        <w:rPr>
          <w:b/>
        </w:rPr>
        <w:t xml:space="preserve">                                                         </w:t>
      </w:r>
      <w:r>
        <w:t xml:space="preserve"> 29</w:t>
      </w:r>
      <w:r>
        <w:rPr>
          <w:b/>
        </w:rPr>
        <w:t xml:space="preserve"> </w:t>
      </w:r>
    </w:p>
    <w:p w:rsidR="005579F7" w:rsidRDefault="00622165">
      <w:pPr>
        <w:spacing w:after="115" w:line="259" w:lineRule="auto"/>
        <w:ind w:left="0" w:right="0" w:firstLine="0"/>
        <w:jc w:val="left"/>
      </w:pPr>
      <w:r>
        <w:rPr>
          <w:b/>
        </w:rPr>
        <w:t xml:space="preserve"> </w:t>
      </w:r>
    </w:p>
    <w:p w:rsidR="005579F7" w:rsidRDefault="00622165">
      <w:pPr>
        <w:spacing w:after="118" w:line="259" w:lineRule="auto"/>
        <w:ind w:left="2" w:right="0"/>
      </w:pPr>
      <w:r>
        <w:rPr>
          <w:b/>
        </w:rPr>
        <w:t xml:space="preserve">Quadro 01 – </w:t>
      </w:r>
      <w:r>
        <w:t xml:space="preserve">Estágio da doença de acordo com a gravidade dos sintomas                 13 </w:t>
      </w:r>
    </w:p>
    <w:p w:rsidR="005579F7" w:rsidRDefault="00622165">
      <w:pPr>
        <w:spacing w:after="115" w:line="259" w:lineRule="auto"/>
        <w:ind w:left="0" w:right="0" w:firstLine="0"/>
        <w:jc w:val="left"/>
      </w:pPr>
      <w:r>
        <w:rPr>
          <w:b/>
        </w:rP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8"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115" w:line="259" w:lineRule="auto"/>
        <w:ind w:left="62" w:right="0" w:firstLine="0"/>
        <w:jc w:val="center"/>
      </w:pPr>
      <w:r>
        <w:t xml:space="preserve"> </w:t>
      </w:r>
    </w:p>
    <w:p w:rsidR="005579F7" w:rsidRDefault="00622165">
      <w:pPr>
        <w:spacing w:after="117" w:line="259" w:lineRule="auto"/>
        <w:ind w:left="62" w:right="0" w:firstLine="0"/>
        <w:jc w:val="center"/>
      </w:pPr>
      <w:r>
        <w:t xml:space="preserve"> </w:t>
      </w:r>
    </w:p>
    <w:p w:rsidR="005579F7" w:rsidRDefault="00622165">
      <w:pPr>
        <w:spacing w:after="0" w:line="259" w:lineRule="auto"/>
        <w:ind w:left="0" w:right="0" w:firstLine="0"/>
        <w:jc w:val="left"/>
      </w:pPr>
      <w:r>
        <w:t xml:space="preserve"> </w:t>
      </w:r>
    </w:p>
    <w:p w:rsidR="005579F7" w:rsidRDefault="00622165">
      <w:pPr>
        <w:pStyle w:val="Ttulo3"/>
        <w:spacing w:after="116"/>
        <w:ind w:right="9"/>
        <w:jc w:val="center"/>
      </w:pPr>
      <w:r>
        <w:lastRenderedPageBreak/>
        <w:t xml:space="preserve">LISTA DE TABELAS </w:t>
      </w:r>
    </w:p>
    <w:p w:rsidR="005579F7" w:rsidRDefault="00622165">
      <w:pPr>
        <w:spacing w:after="115" w:line="259" w:lineRule="auto"/>
        <w:ind w:left="62" w:right="0" w:firstLine="0"/>
        <w:jc w:val="center"/>
      </w:pPr>
      <w:r>
        <w:rPr>
          <w:b/>
        </w:rPr>
        <w:t xml:space="preserve"> </w:t>
      </w:r>
    </w:p>
    <w:p w:rsidR="005579F7" w:rsidRDefault="00622165">
      <w:pPr>
        <w:spacing w:after="118" w:line="259" w:lineRule="auto"/>
        <w:ind w:left="2" w:right="0"/>
      </w:pPr>
      <w:r>
        <w:rPr>
          <w:b/>
        </w:rPr>
        <w:t>Tabela 1</w:t>
      </w:r>
      <w:r>
        <w:t xml:space="preserve"> – Dados demográficos dos 37 pacientes com </w:t>
      </w:r>
      <w:proofErr w:type="spellStart"/>
      <w:r>
        <w:t>ATTRv</w:t>
      </w:r>
      <w:proofErr w:type="spellEnd"/>
      <w:r>
        <w:t xml:space="preserve">                                    25 </w:t>
      </w:r>
    </w:p>
    <w:p w:rsidR="005579F7" w:rsidRDefault="00622165">
      <w:pPr>
        <w:spacing w:after="116" w:line="259" w:lineRule="auto"/>
        <w:ind w:left="2" w:right="0"/>
      </w:pPr>
      <w:r>
        <w:rPr>
          <w:b/>
        </w:rPr>
        <w:t>Tabela 2</w:t>
      </w:r>
      <w:r>
        <w:t xml:space="preserve"> – </w:t>
      </w:r>
      <w:r>
        <w:t xml:space="preserve">Características da </w:t>
      </w:r>
      <w:proofErr w:type="spellStart"/>
      <w:r>
        <w:t>ATTRv</w:t>
      </w:r>
      <w:proofErr w:type="spellEnd"/>
      <w:r>
        <w:t xml:space="preserve">                                                                          26 </w:t>
      </w:r>
    </w:p>
    <w:p w:rsidR="005579F7" w:rsidRDefault="00622165">
      <w:pPr>
        <w:spacing w:after="115" w:line="259" w:lineRule="auto"/>
        <w:ind w:left="2" w:right="0"/>
      </w:pPr>
      <w:r>
        <w:rPr>
          <w:b/>
        </w:rPr>
        <w:t>Tabela 3</w:t>
      </w:r>
      <w:r>
        <w:t xml:space="preserve"> – Avaliação pupilar dos pacientes com </w:t>
      </w:r>
      <w:proofErr w:type="spellStart"/>
      <w:r>
        <w:t>ATTRv</w:t>
      </w:r>
      <w:proofErr w:type="spellEnd"/>
      <w:r>
        <w:t xml:space="preserve">                                            29 </w:t>
      </w:r>
    </w:p>
    <w:p w:rsidR="005579F7" w:rsidRDefault="00622165">
      <w:pPr>
        <w:spacing w:after="115" w:line="259" w:lineRule="auto"/>
        <w:ind w:left="2" w:right="0"/>
      </w:pPr>
      <w:r>
        <w:rPr>
          <w:b/>
        </w:rPr>
        <w:t xml:space="preserve">SUMÁRIO </w:t>
      </w:r>
    </w:p>
    <w:p w:rsidR="005579F7" w:rsidRDefault="00622165">
      <w:pPr>
        <w:spacing w:after="118" w:line="259" w:lineRule="auto"/>
        <w:ind w:left="0" w:right="0" w:firstLine="0"/>
        <w:jc w:val="left"/>
      </w:pPr>
      <w:r>
        <w:rPr>
          <w:b/>
        </w:rPr>
        <w:t xml:space="preserve"> </w:t>
      </w:r>
    </w:p>
    <w:sdt>
      <w:sdtPr>
        <w:id w:val="-2051219503"/>
        <w:docPartObj>
          <w:docPartGallery w:val="Table of Contents"/>
        </w:docPartObj>
      </w:sdtPr>
      <w:sdtEndPr/>
      <w:sdtContent>
        <w:p w:rsidR="005579F7" w:rsidRDefault="00622165">
          <w:pPr>
            <w:pStyle w:val="Sumrio1"/>
            <w:tabs>
              <w:tab w:val="right" w:leader="dot" w:pos="9077"/>
            </w:tabs>
          </w:pPr>
          <w:r>
            <w:fldChar w:fldCharType="begin"/>
          </w:r>
          <w:r>
            <w:instrText xml:space="preserve"> TOC \o "1-2" \h \z \u </w:instrText>
          </w:r>
          <w:r>
            <w:fldChar w:fldCharType="separate"/>
          </w:r>
          <w:hyperlink w:anchor="_Toc36421">
            <w:r>
              <w:t>1</w:t>
            </w:r>
            <w:r>
              <w:rPr>
                <w:rFonts w:ascii="Calibri" w:eastAsia="Calibri" w:hAnsi="Calibri" w:cs="Calibri"/>
              </w:rPr>
              <w:t xml:space="preserve">  </w:t>
            </w:r>
            <w:r>
              <w:t>INTRODUÇÃO</w:t>
            </w:r>
            <w:r>
              <w:tab/>
            </w:r>
            <w:r>
              <w:fldChar w:fldCharType="begin"/>
            </w:r>
            <w:r>
              <w:instrText>PAGEREF _Toc36421 \h</w:instrText>
            </w:r>
            <w:r>
              <w:fldChar w:fldCharType="separate"/>
            </w:r>
            <w:r>
              <w:t xml:space="preserve">9 </w:t>
            </w:r>
            <w:r>
              <w:fldChar w:fldCharType="end"/>
            </w:r>
          </w:hyperlink>
        </w:p>
        <w:p w:rsidR="005579F7" w:rsidRDefault="00622165">
          <w:pPr>
            <w:pStyle w:val="Sumrio1"/>
            <w:tabs>
              <w:tab w:val="right" w:leader="dot" w:pos="9077"/>
            </w:tabs>
          </w:pPr>
          <w:hyperlink w:anchor="_Toc36422">
            <w:r>
              <w:t>2</w:t>
            </w:r>
            <w:r>
              <w:rPr>
                <w:rFonts w:ascii="Calibri" w:eastAsia="Calibri" w:hAnsi="Calibri" w:cs="Calibri"/>
              </w:rPr>
              <w:t xml:space="preserve"> </w:t>
            </w:r>
            <w:r>
              <w:t>OBJETIVOS</w:t>
            </w:r>
            <w:r>
              <w:tab/>
            </w:r>
            <w:r>
              <w:fldChar w:fldCharType="begin"/>
            </w:r>
            <w:r>
              <w:instrText>PAGEREF _Toc36422 \h</w:instrText>
            </w:r>
            <w:r>
              <w:fldChar w:fldCharType="separate"/>
            </w:r>
            <w:r>
              <w:t xml:space="preserve">11 </w:t>
            </w:r>
            <w:r>
              <w:fldChar w:fldCharType="end"/>
            </w:r>
          </w:hyperlink>
        </w:p>
        <w:p w:rsidR="005579F7" w:rsidRDefault="00622165">
          <w:pPr>
            <w:pStyle w:val="Sumrio1"/>
            <w:tabs>
              <w:tab w:val="right" w:leader="dot" w:pos="9077"/>
            </w:tabs>
          </w:pPr>
          <w:hyperlink w:anchor="_Toc36423">
            <w:r>
              <w:t>3</w:t>
            </w:r>
            <w:r>
              <w:rPr>
                <w:rFonts w:ascii="Calibri" w:eastAsia="Calibri" w:hAnsi="Calibri" w:cs="Calibri"/>
              </w:rPr>
              <w:t xml:space="preserve"> </w:t>
            </w:r>
            <w:r>
              <w:t>REVISÃO DE LITERATURA</w:t>
            </w:r>
            <w:r>
              <w:tab/>
            </w:r>
            <w:r>
              <w:fldChar w:fldCharType="begin"/>
            </w:r>
            <w:r>
              <w:instrText>PAGEREF _Toc36423 \h</w:instrText>
            </w:r>
            <w:r>
              <w:fldChar w:fldCharType="separate"/>
            </w:r>
            <w:r>
              <w:t xml:space="preserve">12 </w:t>
            </w:r>
            <w:r>
              <w:fldChar w:fldCharType="end"/>
            </w:r>
          </w:hyperlink>
        </w:p>
        <w:p w:rsidR="005579F7" w:rsidRDefault="00622165">
          <w:pPr>
            <w:pStyle w:val="Sumrio2"/>
            <w:tabs>
              <w:tab w:val="right" w:leader="dot" w:pos="9077"/>
            </w:tabs>
          </w:pPr>
          <w:hyperlink w:anchor="_Toc36424">
            <w:r>
              <w:t>3.1</w:t>
            </w:r>
            <w:r>
              <w:rPr>
                <w:rFonts w:ascii="Calibri" w:eastAsia="Calibri" w:hAnsi="Calibri" w:cs="Calibri"/>
              </w:rPr>
              <w:t xml:space="preserve"> </w:t>
            </w:r>
            <w:r>
              <w:t>Amiloidose</w:t>
            </w:r>
            <w:r>
              <w:tab/>
            </w:r>
            <w:r>
              <w:fldChar w:fldCharType="begin"/>
            </w:r>
            <w:r>
              <w:instrText>PAGEREF _Toc36424 \h</w:instrText>
            </w:r>
            <w:r>
              <w:fldChar w:fldCharType="separate"/>
            </w:r>
            <w:r>
              <w:t xml:space="preserve">12 </w:t>
            </w:r>
            <w:r>
              <w:fldChar w:fldCharType="end"/>
            </w:r>
          </w:hyperlink>
        </w:p>
        <w:p w:rsidR="005579F7" w:rsidRDefault="00622165">
          <w:pPr>
            <w:pStyle w:val="Sumrio2"/>
            <w:tabs>
              <w:tab w:val="right" w:leader="dot" w:pos="9077"/>
            </w:tabs>
          </w:pPr>
          <w:hyperlink w:anchor="_Toc36425">
            <w:r>
              <w:t>3.2</w:t>
            </w:r>
            <w:r>
              <w:rPr>
                <w:rFonts w:ascii="Calibri" w:eastAsia="Calibri" w:hAnsi="Calibri" w:cs="Calibri"/>
              </w:rPr>
              <w:t xml:space="preserve"> </w:t>
            </w:r>
            <w:r>
              <w:t>Classificação</w:t>
            </w:r>
            <w:r>
              <w:tab/>
            </w:r>
            <w:r>
              <w:fldChar w:fldCharType="begin"/>
            </w:r>
            <w:r>
              <w:instrText>PAGEREF _To</w:instrText>
            </w:r>
            <w:r>
              <w:instrText>c36425 \h</w:instrText>
            </w:r>
            <w:r>
              <w:fldChar w:fldCharType="separate"/>
            </w:r>
            <w:r>
              <w:t xml:space="preserve">13 </w:t>
            </w:r>
            <w:r>
              <w:fldChar w:fldCharType="end"/>
            </w:r>
          </w:hyperlink>
        </w:p>
        <w:p w:rsidR="005579F7" w:rsidRDefault="00622165">
          <w:pPr>
            <w:pStyle w:val="Sumrio2"/>
            <w:tabs>
              <w:tab w:val="right" w:leader="dot" w:pos="9077"/>
            </w:tabs>
          </w:pPr>
          <w:hyperlink w:anchor="_Toc36426">
            <w:r>
              <w:t>3.3</w:t>
            </w:r>
            <w:r>
              <w:rPr>
                <w:rFonts w:ascii="Calibri" w:eastAsia="Calibri" w:hAnsi="Calibri" w:cs="Calibri"/>
              </w:rPr>
              <w:t xml:space="preserve"> </w:t>
            </w:r>
            <w:r>
              <w:t>Diagnóstico e tratamento</w:t>
            </w:r>
            <w:r>
              <w:tab/>
            </w:r>
            <w:r>
              <w:fldChar w:fldCharType="begin"/>
            </w:r>
            <w:r>
              <w:instrText>PAGEREF _Toc36426 \h</w:instrText>
            </w:r>
            <w:r>
              <w:fldChar w:fldCharType="separate"/>
            </w:r>
            <w:r>
              <w:t xml:space="preserve">14 </w:t>
            </w:r>
            <w:r>
              <w:fldChar w:fldCharType="end"/>
            </w:r>
          </w:hyperlink>
        </w:p>
        <w:p w:rsidR="005579F7" w:rsidRDefault="00622165">
          <w:pPr>
            <w:pStyle w:val="Sumrio2"/>
            <w:tabs>
              <w:tab w:val="right" w:leader="dot" w:pos="9077"/>
            </w:tabs>
          </w:pPr>
          <w:hyperlink w:anchor="_Toc36427">
            <w:r>
              <w:t>3.4</w:t>
            </w:r>
            <w:r>
              <w:rPr>
                <w:rFonts w:ascii="Calibri" w:eastAsia="Calibri" w:hAnsi="Calibri" w:cs="Calibri"/>
              </w:rPr>
              <w:t xml:space="preserve"> </w:t>
            </w:r>
            <w:r>
              <w:t>Avaliação clínica do reflexo pupilar</w:t>
            </w:r>
            <w:r>
              <w:tab/>
            </w:r>
            <w:r>
              <w:fldChar w:fldCharType="begin"/>
            </w:r>
            <w:r>
              <w:instrText>PAGEREF _Toc36427 \h</w:instrText>
            </w:r>
            <w:r>
              <w:fldChar w:fldCharType="separate"/>
            </w:r>
            <w:r>
              <w:t xml:space="preserve">17 </w:t>
            </w:r>
            <w:r>
              <w:fldChar w:fldCharType="end"/>
            </w:r>
          </w:hyperlink>
        </w:p>
        <w:p w:rsidR="005579F7" w:rsidRDefault="00622165">
          <w:r>
            <w:fldChar w:fldCharType="end"/>
          </w:r>
        </w:p>
      </w:sdtContent>
    </w:sdt>
    <w:p w:rsidR="005579F7" w:rsidRDefault="00622165">
      <w:pPr>
        <w:spacing w:after="212" w:line="259" w:lineRule="auto"/>
        <w:ind w:left="2" w:right="0"/>
      </w:pPr>
      <w:r>
        <w:t>3.5</w:t>
      </w:r>
      <w:r>
        <w:rPr>
          <w:rFonts w:ascii="Calibri" w:eastAsia="Calibri" w:hAnsi="Calibri" w:cs="Calibri"/>
        </w:rPr>
        <w:t xml:space="preserve"> </w:t>
      </w:r>
      <w:r>
        <w:t xml:space="preserve">Avaliação clínica do </w:t>
      </w:r>
      <w:proofErr w:type="spellStart"/>
      <w:r>
        <w:t>olho-seco</w:t>
      </w:r>
      <w:proofErr w:type="spellEnd"/>
      <w:r>
        <w:t xml:space="preserve"> ............................................................................ 15</w:t>
      </w:r>
      <w:r>
        <w:rPr>
          <w:rFonts w:ascii="Calibri" w:eastAsia="Calibri" w:hAnsi="Calibri" w:cs="Calibri"/>
        </w:rPr>
        <w:t xml:space="preserve"> </w:t>
      </w:r>
    </w:p>
    <w:p w:rsidR="005579F7" w:rsidRDefault="00622165">
      <w:pPr>
        <w:spacing w:after="212" w:line="259" w:lineRule="auto"/>
        <w:ind w:left="2" w:right="0"/>
      </w:pPr>
      <w:r>
        <w:t>3.6</w:t>
      </w:r>
      <w:r>
        <w:rPr>
          <w:rFonts w:ascii="Calibri" w:eastAsia="Calibri" w:hAnsi="Calibri" w:cs="Calibri"/>
        </w:rPr>
        <w:t xml:space="preserve"> </w:t>
      </w:r>
      <w:r>
        <w:t>D</w:t>
      </w:r>
      <w:r>
        <w:t xml:space="preserve">istribuição da </w:t>
      </w:r>
      <w:proofErr w:type="spellStart"/>
      <w:r>
        <w:t>Transtirretina</w:t>
      </w:r>
      <w:proofErr w:type="spellEnd"/>
      <w:r>
        <w:t xml:space="preserve"> nos tecidos oculares ............................................ 17</w:t>
      </w:r>
      <w:r>
        <w:rPr>
          <w:rFonts w:ascii="Calibri" w:eastAsia="Calibri" w:hAnsi="Calibri" w:cs="Calibri"/>
        </w:rPr>
        <w:t xml:space="preserve"> </w:t>
      </w:r>
    </w:p>
    <w:p w:rsidR="005579F7" w:rsidRDefault="00622165">
      <w:pPr>
        <w:spacing w:line="432" w:lineRule="auto"/>
        <w:ind w:left="2" w:right="0"/>
      </w:pPr>
      <w:r>
        <w:t>3.7</w:t>
      </w:r>
      <w:r>
        <w:rPr>
          <w:rFonts w:ascii="Calibri" w:eastAsia="Calibri" w:hAnsi="Calibri" w:cs="Calibri"/>
        </w:rPr>
        <w:t xml:space="preserve"> </w:t>
      </w:r>
      <w:r>
        <w:t xml:space="preserve">Envolvimento ocular na </w:t>
      </w:r>
      <w:proofErr w:type="spellStart"/>
      <w:r>
        <w:t>Amiloidose</w:t>
      </w:r>
      <w:proofErr w:type="spellEnd"/>
      <w:r>
        <w:t xml:space="preserve"> </w:t>
      </w:r>
      <w:proofErr w:type="spellStart"/>
      <w:r>
        <w:t>Transtirretina</w:t>
      </w:r>
      <w:proofErr w:type="spellEnd"/>
      <w:r>
        <w:t xml:space="preserve"> .............................................. 18</w:t>
      </w:r>
      <w:r>
        <w:rPr>
          <w:rFonts w:ascii="Calibri" w:eastAsia="Calibri" w:hAnsi="Calibri" w:cs="Calibri"/>
        </w:rPr>
        <w:t xml:space="preserve"> </w:t>
      </w:r>
      <w:r>
        <w:t>4</w:t>
      </w:r>
      <w:r>
        <w:rPr>
          <w:rFonts w:ascii="Calibri" w:eastAsia="Calibri" w:hAnsi="Calibri" w:cs="Calibri"/>
        </w:rPr>
        <w:t xml:space="preserve"> </w:t>
      </w:r>
      <w:r>
        <w:t xml:space="preserve">MATERIAIS E MÉTODOS </w:t>
      </w:r>
      <w:r>
        <w:t>.................................................................................. 19</w:t>
      </w:r>
      <w:r>
        <w:rPr>
          <w:rFonts w:ascii="Calibri" w:eastAsia="Calibri" w:hAnsi="Calibri" w:cs="Calibri"/>
        </w:rPr>
        <w:t xml:space="preserve"> </w:t>
      </w:r>
    </w:p>
    <w:p w:rsidR="005579F7" w:rsidRDefault="00622165">
      <w:pPr>
        <w:spacing w:after="214" w:line="259" w:lineRule="auto"/>
        <w:ind w:left="2" w:right="0"/>
      </w:pPr>
      <w:r>
        <w:t>4.1</w:t>
      </w:r>
      <w:r>
        <w:rPr>
          <w:rFonts w:ascii="Calibri" w:eastAsia="Calibri" w:hAnsi="Calibri" w:cs="Calibri"/>
        </w:rPr>
        <w:t xml:space="preserve"> </w:t>
      </w:r>
      <w:r>
        <w:t>Desenho de estudo ............................................................................................. 19</w:t>
      </w:r>
      <w:r>
        <w:rPr>
          <w:rFonts w:ascii="Calibri" w:eastAsia="Calibri" w:hAnsi="Calibri" w:cs="Calibri"/>
        </w:rPr>
        <w:t xml:space="preserve"> </w:t>
      </w:r>
    </w:p>
    <w:p w:rsidR="005579F7" w:rsidRDefault="00622165">
      <w:pPr>
        <w:spacing w:after="212" w:line="259" w:lineRule="auto"/>
        <w:ind w:left="2" w:right="0"/>
      </w:pPr>
      <w:r>
        <w:t>4.2</w:t>
      </w:r>
      <w:r>
        <w:rPr>
          <w:rFonts w:ascii="Calibri" w:eastAsia="Calibri" w:hAnsi="Calibri" w:cs="Calibri"/>
        </w:rPr>
        <w:t xml:space="preserve"> </w:t>
      </w:r>
      <w:r>
        <w:t>Local, duração e período de estudo ..........</w:t>
      </w:r>
      <w:r>
        <w:t>......................................................... 19</w:t>
      </w:r>
      <w:r>
        <w:rPr>
          <w:rFonts w:ascii="Calibri" w:eastAsia="Calibri" w:hAnsi="Calibri" w:cs="Calibri"/>
        </w:rPr>
        <w:t xml:space="preserve"> </w:t>
      </w:r>
    </w:p>
    <w:p w:rsidR="005579F7" w:rsidRDefault="00622165">
      <w:pPr>
        <w:spacing w:after="212" w:line="259" w:lineRule="auto"/>
        <w:ind w:left="2" w:right="0"/>
      </w:pPr>
      <w:r>
        <w:t>4.3</w:t>
      </w:r>
      <w:r>
        <w:rPr>
          <w:rFonts w:ascii="Calibri" w:eastAsia="Calibri" w:hAnsi="Calibri" w:cs="Calibri"/>
        </w:rPr>
        <w:t xml:space="preserve"> </w:t>
      </w:r>
      <w:r>
        <w:t>População do estudo .......................................................................................... 19</w:t>
      </w:r>
      <w:r>
        <w:rPr>
          <w:rFonts w:ascii="Calibri" w:eastAsia="Calibri" w:hAnsi="Calibri" w:cs="Calibri"/>
        </w:rPr>
        <w:t xml:space="preserve"> </w:t>
      </w:r>
    </w:p>
    <w:p w:rsidR="005579F7" w:rsidRDefault="00622165">
      <w:pPr>
        <w:spacing w:after="212" w:line="259" w:lineRule="auto"/>
        <w:ind w:left="2" w:right="0"/>
      </w:pPr>
      <w:r>
        <w:t>4.4</w:t>
      </w:r>
      <w:r>
        <w:rPr>
          <w:rFonts w:ascii="Calibri" w:eastAsia="Calibri" w:hAnsi="Calibri" w:cs="Calibri"/>
        </w:rPr>
        <w:t xml:space="preserve"> </w:t>
      </w:r>
      <w:r>
        <w:t>Instrumento de coleta de dados ........................................</w:t>
      </w:r>
      <w:r>
        <w:t>.................................. 20</w:t>
      </w:r>
      <w:r>
        <w:rPr>
          <w:rFonts w:ascii="Calibri" w:eastAsia="Calibri" w:hAnsi="Calibri" w:cs="Calibri"/>
        </w:rPr>
        <w:t xml:space="preserve"> </w:t>
      </w:r>
    </w:p>
    <w:p w:rsidR="005579F7" w:rsidRDefault="00622165">
      <w:pPr>
        <w:spacing w:after="212" w:line="259" w:lineRule="auto"/>
        <w:ind w:left="2" w:right="0"/>
      </w:pPr>
      <w:r>
        <w:t>4.5</w:t>
      </w:r>
      <w:r>
        <w:rPr>
          <w:rFonts w:ascii="Calibri" w:eastAsia="Calibri" w:hAnsi="Calibri" w:cs="Calibri"/>
        </w:rPr>
        <w:t xml:space="preserve"> </w:t>
      </w:r>
      <w:r>
        <w:t>Plano de análise de dados .................................................................................. 23</w:t>
      </w:r>
      <w:r>
        <w:rPr>
          <w:rFonts w:ascii="Calibri" w:eastAsia="Calibri" w:hAnsi="Calibri" w:cs="Calibri"/>
        </w:rPr>
        <w:t xml:space="preserve"> </w:t>
      </w:r>
    </w:p>
    <w:p w:rsidR="005579F7" w:rsidRDefault="00622165">
      <w:pPr>
        <w:spacing w:after="212" w:line="259" w:lineRule="auto"/>
        <w:ind w:left="2" w:right="0"/>
      </w:pPr>
      <w:r>
        <w:t>4.6</w:t>
      </w:r>
      <w:r>
        <w:rPr>
          <w:rFonts w:ascii="Calibri" w:eastAsia="Calibri" w:hAnsi="Calibri" w:cs="Calibri"/>
        </w:rPr>
        <w:t xml:space="preserve"> </w:t>
      </w:r>
      <w:r>
        <w:t xml:space="preserve">Aspectos éticos </w:t>
      </w:r>
      <w:r>
        <w:t>................................................................................................... 23</w:t>
      </w:r>
      <w:r>
        <w:rPr>
          <w:rFonts w:ascii="Calibri" w:eastAsia="Calibri" w:hAnsi="Calibri" w:cs="Calibri"/>
        </w:rPr>
        <w:t xml:space="preserve"> </w:t>
      </w:r>
    </w:p>
    <w:p w:rsidR="005579F7" w:rsidRDefault="00622165">
      <w:pPr>
        <w:numPr>
          <w:ilvl w:val="0"/>
          <w:numId w:val="1"/>
        </w:numPr>
        <w:spacing w:after="212" w:line="259" w:lineRule="auto"/>
        <w:ind w:right="0" w:hanging="439"/>
      </w:pPr>
      <w:r>
        <w:t>RESULTADOS ................................................................................................... 25</w:t>
      </w:r>
      <w:r>
        <w:rPr>
          <w:rFonts w:ascii="Calibri" w:eastAsia="Calibri" w:hAnsi="Calibri" w:cs="Calibri"/>
        </w:rPr>
        <w:t xml:space="preserve"> </w:t>
      </w:r>
    </w:p>
    <w:p w:rsidR="005579F7" w:rsidRDefault="00622165">
      <w:pPr>
        <w:numPr>
          <w:ilvl w:val="0"/>
          <w:numId w:val="1"/>
        </w:numPr>
        <w:spacing w:after="214" w:line="259" w:lineRule="auto"/>
        <w:ind w:right="0" w:hanging="439"/>
      </w:pPr>
      <w:r>
        <w:t>DISCUSSÃO ...........................</w:t>
      </w:r>
      <w:r>
        <w:t>............................................................................ 30</w:t>
      </w:r>
      <w:r>
        <w:rPr>
          <w:rFonts w:ascii="Calibri" w:eastAsia="Calibri" w:hAnsi="Calibri" w:cs="Calibri"/>
        </w:rPr>
        <w:t xml:space="preserve"> </w:t>
      </w:r>
    </w:p>
    <w:p w:rsidR="005579F7" w:rsidRDefault="00622165">
      <w:pPr>
        <w:numPr>
          <w:ilvl w:val="0"/>
          <w:numId w:val="1"/>
        </w:numPr>
        <w:spacing w:after="212" w:line="259" w:lineRule="auto"/>
        <w:ind w:right="0" w:hanging="439"/>
      </w:pPr>
      <w:r>
        <w:t>CONCLUSÃO ..................................................................................................... 33</w:t>
      </w:r>
      <w:r>
        <w:rPr>
          <w:rFonts w:ascii="Calibri" w:eastAsia="Calibri" w:hAnsi="Calibri" w:cs="Calibri"/>
        </w:rPr>
        <w:t xml:space="preserve"> </w:t>
      </w:r>
    </w:p>
    <w:p w:rsidR="005579F7" w:rsidRDefault="00622165">
      <w:pPr>
        <w:numPr>
          <w:ilvl w:val="0"/>
          <w:numId w:val="1"/>
        </w:numPr>
        <w:spacing w:after="212" w:line="259" w:lineRule="auto"/>
        <w:ind w:right="0" w:hanging="439"/>
      </w:pPr>
      <w:r>
        <w:lastRenderedPageBreak/>
        <w:t>REFERÊNCIAS ...............................................</w:t>
      </w:r>
      <w:r>
        <w:t>................................................... 34</w:t>
      </w:r>
      <w:r>
        <w:rPr>
          <w:rFonts w:ascii="Calibri" w:eastAsia="Calibri" w:hAnsi="Calibri" w:cs="Calibri"/>
        </w:rPr>
        <w:t xml:space="preserve"> </w:t>
      </w:r>
    </w:p>
    <w:p w:rsidR="005579F7" w:rsidRDefault="00622165">
      <w:pPr>
        <w:numPr>
          <w:ilvl w:val="0"/>
          <w:numId w:val="1"/>
        </w:numPr>
        <w:spacing w:after="212" w:line="259" w:lineRule="auto"/>
        <w:ind w:right="0" w:hanging="439"/>
      </w:pPr>
      <w:r>
        <w:t>APÊNDICES ....................................................................................................... 37</w:t>
      </w:r>
      <w:r>
        <w:rPr>
          <w:rFonts w:ascii="Calibri" w:eastAsia="Calibri" w:hAnsi="Calibri" w:cs="Calibri"/>
        </w:rPr>
        <w:t xml:space="preserve"> </w:t>
      </w:r>
    </w:p>
    <w:p w:rsidR="005579F7" w:rsidRDefault="00622165">
      <w:pPr>
        <w:numPr>
          <w:ilvl w:val="0"/>
          <w:numId w:val="1"/>
        </w:numPr>
        <w:spacing w:line="459" w:lineRule="auto"/>
        <w:ind w:right="0" w:hanging="439"/>
      </w:pPr>
      <w:r>
        <w:t>ANEXOS ...........................................................................</w:t>
      </w:r>
      <w:r>
        <w:t>.................................. 42</w:t>
      </w:r>
      <w:r>
        <w:rPr>
          <w:rFonts w:ascii="Calibri" w:eastAsia="Calibri" w:hAnsi="Calibri" w:cs="Calibri"/>
        </w:rPr>
        <w:t xml:space="preserve"> </w:t>
      </w:r>
    </w:p>
    <w:p w:rsidR="005579F7" w:rsidRDefault="00622165">
      <w:pPr>
        <w:spacing w:line="459" w:lineRule="auto"/>
        <w:ind w:left="2" w:right="0"/>
      </w:pPr>
      <w:r>
        <w:rPr>
          <w:b/>
        </w:rPr>
        <w:t xml:space="preserve"> </w:t>
      </w:r>
    </w:p>
    <w:p w:rsidR="005579F7" w:rsidRDefault="005579F7">
      <w:pPr>
        <w:sectPr w:rsidR="005579F7">
          <w:headerReference w:type="even" r:id="rId8"/>
          <w:headerReference w:type="default" r:id="rId9"/>
          <w:headerReference w:type="first" r:id="rId10"/>
          <w:pgSz w:w="11906" w:h="16838"/>
          <w:pgMar w:top="1701" w:right="1127" w:bottom="1198" w:left="1702" w:header="720" w:footer="720" w:gutter="0"/>
          <w:cols w:space="720"/>
        </w:sectPr>
      </w:pPr>
    </w:p>
    <w:p w:rsidR="005579F7" w:rsidRDefault="00622165">
      <w:pPr>
        <w:pStyle w:val="Ttulo1"/>
        <w:ind w:left="-5" w:right="485"/>
      </w:pPr>
      <w:bookmarkStart w:id="1" w:name="_Toc36421"/>
      <w:r>
        <w:lastRenderedPageBreak/>
        <w:t>1 INTRODUÇÃO</w:t>
      </w:r>
      <w:r>
        <w:rPr>
          <w:b w:val="0"/>
        </w:rPr>
        <w:t xml:space="preserve"> </w:t>
      </w:r>
      <w:bookmarkEnd w:id="1"/>
    </w:p>
    <w:p w:rsidR="005579F7" w:rsidRDefault="00622165">
      <w:pPr>
        <w:spacing w:after="37"/>
        <w:ind w:left="2" w:right="0"/>
      </w:pPr>
      <w:r>
        <w:t xml:space="preserve">A </w:t>
      </w:r>
      <w:proofErr w:type="spellStart"/>
      <w:r>
        <w:t>Amiloidose</w:t>
      </w:r>
      <w:proofErr w:type="spellEnd"/>
      <w:r>
        <w:t xml:space="preserve"> Hereditária, também conhecida como </w:t>
      </w:r>
      <w:proofErr w:type="spellStart"/>
      <w:r>
        <w:t>Amiloidose</w:t>
      </w:r>
      <w:proofErr w:type="spellEnd"/>
      <w:r>
        <w:t xml:space="preserve"> </w:t>
      </w:r>
      <w:proofErr w:type="spellStart"/>
      <w:r>
        <w:t>ATTRv</w:t>
      </w:r>
      <w:proofErr w:type="spellEnd"/>
      <w:r>
        <w:t>, é uma doença sistêmica e neurodegenerativa de caráter autossômico dominante. Ela é caracterizada pela presença de uma polineuropatia sensitiva, motora e autonômica progressiva, assumindo div</w:t>
      </w:r>
      <w:r>
        <w:t>ersos perfis clínicos ao longo de sua evolução e representando uma condição consumptiva e fatal.</w:t>
      </w:r>
      <w:r>
        <w:rPr>
          <w:vertAlign w:val="superscript"/>
        </w:rPr>
        <w:t>1</w:t>
      </w:r>
      <w:r>
        <w:t xml:space="preserve"> </w:t>
      </w:r>
    </w:p>
    <w:p w:rsidR="005579F7" w:rsidRDefault="00622165">
      <w:pPr>
        <w:spacing w:after="115" w:line="259" w:lineRule="auto"/>
        <w:ind w:left="0" w:right="0" w:firstLine="0"/>
        <w:jc w:val="left"/>
      </w:pPr>
      <w:r>
        <w:t xml:space="preserve"> </w:t>
      </w:r>
    </w:p>
    <w:p w:rsidR="005579F7" w:rsidRDefault="00622165">
      <w:pPr>
        <w:spacing w:after="37"/>
        <w:ind w:left="2" w:right="0"/>
      </w:pPr>
      <w:r>
        <w:t xml:space="preserve">A raiz da </w:t>
      </w:r>
      <w:proofErr w:type="spellStart"/>
      <w:r>
        <w:t>ATTRv</w:t>
      </w:r>
      <w:proofErr w:type="spellEnd"/>
      <w:r>
        <w:t xml:space="preserve"> está na mutação da proteína </w:t>
      </w:r>
      <w:proofErr w:type="spellStart"/>
      <w:r>
        <w:t>transtirretina</w:t>
      </w:r>
      <w:proofErr w:type="spellEnd"/>
      <w:r>
        <w:t xml:space="preserve"> (TTR), também conhecida como </w:t>
      </w:r>
      <w:proofErr w:type="spellStart"/>
      <w:r>
        <w:t>pré</w:t>
      </w:r>
      <w:proofErr w:type="spellEnd"/>
      <w:r>
        <w:t>-albumina, que tem a capacidade de se acumular em forma de fibri</w:t>
      </w:r>
      <w:r>
        <w:t>las amiloides nos nervos periféricos, bem como de se agregar em diferentes órgãos e tecidos do corpo.</w:t>
      </w:r>
      <w:r>
        <w:rPr>
          <w:vertAlign w:val="superscript"/>
        </w:rPr>
        <w:t>2,3</w:t>
      </w:r>
      <w:r>
        <w:t xml:space="preserve">  Essa característica a torna um distúrbio sistêmico, provocando uma disfunção progressiva em múltiplos locais. A produção da proteína TTR é predominant</w:t>
      </w:r>
      <w:r>
        <w:t xml:space="preserve">emente realizada pelo fígado, embora outros órgãos, como os plexos </w:t>
      </w:r>
      <w:proofErr w:type="spellStart"/>
      <w:r>
        <w:t>coróides</w:t>
      </w:r>
      <w:proofErr w:type="spellEnd"/>
      <w:r>
        <w:t xml:space="preserve"> cerebrais e células epiteliais pigmentares da retina, também contribuam para sua síntese.</w:t>
      </w:r>
      <w:r>
        <w:rPr>
          <w:vertAlign w:val="superscript"/>
        </w:rPr>
        <w:t>4</w:t>
      </w:r>
      <w:r>
        <w:t xml:space="preserve"> </w:t>
      </w:r>
    </w:p>
    <w:p w:rsidR="005579F7" w:rsidRDefault="00622165">
      <w:pPr>
        <w:spacing w:after="117" w:line="259" w:lineRule="auto"/>
        <w:ind w:left="0" w:right="0" w:firstLine="0"/>
        <w:jc w:val="left"/>
      </w:pPr>
      <w:r>
        <w:t xml:space="preserve"> </w:t>
      </w:r>
    </w:p>
    <w:p w:rsidR="005579F7" w:rsidRDefault="00622165">
      <w:pPr>
        <w:spacing w:after="37"/>
        <w:ind w:left="2" w:right="0"/>
      </w:pPr>
      <w:r>
        <w:t xml:space="preserve">A </w:t>
      </w:r>
      <w:proofErr w:type="spellStart"/>
      <w:r>
        <w:t>Amiloidose</w:t>
      </w:r>
      <w:proofErr w:type="spellEnd"/>
      <w:r>
        <w:t xml:space="preserve"> TTR é notável por apresentar mais de 130 pontos de mutação descritos, res</w:t>
      </w:r>
      <w:r>
        <w:t>ultando em diferentes fenótipos clínicos.</w:t>
      </w:r>
      <w:r>
        <w:rPr>
          <w:vertAlign w:val="superscript"/>
        </w:rPr>
        <w:t>5</w:t>
      </w:r>
      <w:r>
        <w:t xml:space="preserve"> A </w:t>
      </w:r>
      <w:proofErr w:type="spellStart"/>
      <w:r>
        <w:t>penetrância</w:t>
      </w:r>
      <w:proofErr w:type="spellEnd"/>
      <w:r>
        <w:t>, idade de início, sintomatologia e curso da doença podem variar amplamente. Esta condição tem uma distribuição global, sendo considerada endêmica em locais como Portugal, Suécia e Japão, com a mutaçã</w:t>
      </w:r>
      <w:r>
        <w:t xml:space="preserve">o TTR Val30Met sendo a mais prevalente nesses países. </w:t>
      </w:r>
      <w:r>
        <w:rPr>
          <w:vertAlign w:val="superscript"/>
        </w:rPr>
        <w:t>6,7</w:t>
      </w:r>
      <w:r>
        <w:t xml:space="preserve"> No Brasil, essa mutação também parece ser endêmica, possivelmente devido à influência da forte descendência portuguesa, embora outras mutações tenham sido esporadicamente relatadas no país. Sem trat</w:t>
      </w:r>
      <w:r>
        <w:t>amento adequado, a ATTR tende a levar o indivíduo ao óbito em aproximadamente 10 anos</w:t>
      </w:r>
      <w:r>
        <w:rPr>
          <w:vertAlign w:val="superscript"/>
        </w:rPr>
        <w:t>89</w:t>
      </w:r>
      <w:r>
        <w:t xml:space="preserve">.  </w:t>
      </w:r>
    </w:p>
    <w:p w:rsidR="005579F7" w:rsidRDefault="00622165">
      <w:pPr>
        <w:spacing w:after="115" w:line="259" w:lineRule="auto"/>
        <w:ind w:left="0" w:right="0" w:firstLine="0"/>
        <w:jc w:val="left"/>
      </w:pPr>
      <w:r>
        <w:t xml:space="preserve"> </w:t>
      </w:r>
    </w:p>
    <w:p w:rsidR="005579F7" w:rsidRDefault="00622165">
      <w:pPr>
        <w:ind w:left="2" w:right="0"/>
      </w:pPr>
      <w:r>
        <w:t xml:space="preserve">As alterações oculares são uma manifestação comum em pacientes com </w:t>
      </w:r>
      <w:proofErr w:type="spellStart"/>
      <w:r>
        <w:t>Amiloidose</w:t>
      </w:r>
      <w:proofErr w:type="spellEnd"/>
      <w:r>
        <w:t xml:space="preserve"> Hereditária, afetando cerca de 10% dos pacientes e aumentando em prevalência com a duração da doença</w:t>
      </w:r>
      <w:r>
        <w:rPr>
          <w:vertAlign w:val="superscript"/>
        </w:rPr>
        <w:t>10,11</w:t>
      </w:r>
      <w:r>
        <w:t xml:space="preserve">. Entre as manifestações visuais associadas à </w:t>
      </w:r>
      <w:proofErr w:type="spellStart"/>
      <w:r>
        <w:t>Amiloidose</w:t>
      </w:r>
      <w:proofErr w:type="spellEnd"/>
      <w:r>
        <w:t xml:space="preserve"> TTR, estão anorm</w:t>
      </w:r>
      <w:r>
        <w:t>alidades nos vasos conjuntivais, ceratoconjuntivite seca, úlceras na córnea, anormalidades pupilares, glaucoma e opacidades vítreas, entre outras</w:t>
      </w:r>
      <w:r>
        <w:rPr>
          <w:vertAlign w:val="superscript"/>
        </w:rPr>
        <w:t>12</w:t>
      </w:r>
      <w:r>
        <w:t xml:space="preserve">.   </w:t>
      </w:r>
    </w:p>
    <w:p w:rsidR="005579F7" w:rsidRDefault="00622165">
      <w:pPr>
        <w:spacing w:after="0" w:line="259" w:lineRule="auto"/>
        <w:ind w:left="0" w:right="0" w:firstLine="0"/>
        <w:jc w:val="left"/>
      </w:pPr>
      <w:r>
        <w:t xml:space="preserve"> </w:t>
      </w:r>
    </w:p>
    <w:p w:rsidR="005579F7" w:rsidRDefault="00622165">
      <w:pPr>
        <w:spacing w:after="44"/>
        <w:ind w:left="2" w:right="0"/>
      </w:pPr>
      <w:r>
        <w:t>Os distúrbios oculares iniciais, como olho seco e vasos conjuntivais dilatados, resultam do envolvimen</w:t>
      </w:r>
      <w:r>
        <w:t xml:space="preserve">to das fibras desmielinizadas do sistema nervoso autônomo, </w:t>
      </w:r>
      <w:r>
        <w:lastRenderedPageBreak/>
        <w:t>com a subsequente deposição de substância amiloide na glândula lacrimal ocorrendo em estágios mais avançados</w:t>
      </w:r>
      <w:r>
        <w:rPr>
          <w:vertAlign w:val="superscript"/>
        </w:rPr>
        <w:t>10</w:t>
      </w:r>
      <w:r>
        <w:t>. Sintomas mais tardios, como opacidades vítreas e glaucoma, são consequência do acúmul</w:t>
      </w:r>
      <w:r>
        <w:t xml:space="preserve">o local de amiloide e obstruções </w:t>
      </w:r>
      <w:proofErr w:type="spellStart"/>
      <w:r>
        <w:t>trabeculares</w:t>
      </w:r>
      <w:proofErr w:type="spellEnd"/>
      <w:r>
        <w:t>, respectivamente. Essas alterações surgem em pacientes com sintomas sistêmicos há mais de cinco anos e podem levar a uma perda rápida e irreversível da visão</w:t>
      </w:r>
      <w:r>
        <w:rPr>
          <w:vertAlign w:val="superscript"/>
        </w:rPr>
        <w:t>12,13</w:t>
      </w:r>
      <w:r>
        <w:t xml:space="preserve">. </w:t>
      </w:r>
    </w:p>
    <w:p w:rsidR="005579F7" w:rsidRDefault="00622165">
      <w:pPr>
        <w:spacing w:after="117" w:line="259" w:lineRule="auto"/>
        <w:ind w:left="0" w:right="0" w:firstLine="0"/>
        <w:jc w:val="left"/>
      </w:pPr>
      <w:r>
        <w:t xml:space="preserve"> </w:t>
      </w:r>
    </w:p>
    <w:p w:rsidR="005579F7" w:rsidRDefault="00622165">
      <w:pPr>
        <w:ind w:left="2" w:right="0"/>
      </w:pPr>
      <w:r>
        <w:t xml:space="preserve">É importante ressaltar que, no Brasil, ainda não existem estudos que descrevam a presença de olho seco e/ou alterações pupilares em pacientes com </w:t>
      </w:r>
      <w:proofErr w:type="spellStart"/>
      <w:r>
        <w:t>Amiloidose</w:t>
      </w:r>
      <w:proofErr w:type="spellEnd"/>
      <w:r>
        <w:t xml:space="preserve"> TTR. Portanto, é de extrema importância adquirir um maior conhecimento sobre essas manifestações a </w:t>
      </w:r>
      <w:r>
        <w:t>fim de prevenir a progressão do comprometimento ocular, especialmente considerando a sobrevida prolongada resultante do tratamento</w:t>
      </w:r>
      <w:r>
        <w:rPr>
          <w:vertAlign w:val="superscript"/>
        </w:rPr>
        <w:t>10</w:t>
      </w:r>
      <w:r>
        <w:t xml:space="preserve">. A coleta de dados em uma coorte do ambulatório neuromuscular da Escola </w:t>
      </w:r>
      <w:proofErr w:type="spellStart"/>
      <w:r>
        <w:t>Bahiana</w:t>
      </w:r>
      <w:proofErr w:type="spellEnd"/>
      <w:r>
        <w:t xml:space="preserve"> de Medicina e Saúde Pública, um centro de r</w:t>
      </w:r>
      <w:r>
        <w:t xml:space="preserve">eferência no atendimento a pacientes com </w:t>
      </w:r>
      <w:proofErr w:type="spellStart"/>
      <w:r>
        <w:t>ATTRv</w:t>
      </w:r>
      <w:proofErr w:type="spellEnd"/>
      <w:r>
        <w:t xml:space="preserve"> em toda a Bahia, pode oferecer informações valiosas para auxiliar no diagnóstico e tratamento precoces de condições que ameacem a visão.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8"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pStyle w:val="Ttulo1"/>
        <w:ind w:left="-5" w:right="485"/>
      </w:pPr>
      <w:bookmarkStart w:id="2" w:name="_Toc36422"/>
      <w:r>
        <w:t xml:space="preserve">2 OBJETIVOS </w:t>
      </w:r>
      <w:bookmarkEnd w:id="2"/>
    </w:p>
    <w:p w:rsidR="005579F7" w:rsidRDefault="00622165">
      <w:pPr>
        <w:spacing w:after="117" w:line="259" w:lineRule="auto"/>
        <w:ind w:left="0" w:right="0" w:firstLine="0"/>
        <w:jc w:val="left"/>
      </w:pPr>
      <w:r>
        <w:t xml:space="preserve"> </w:t>
      </w:r>
    </w:p>
    <w:p w:rsidR="005579F7" w:rsidRDefault="00622165">
      <w:pPr>
        <w:spacing w:after="119" w:line="259" w:lineRule="auto"/>
        <w:ind w:left="-5" w:right="485"/>
        <w:jc w:val="left"/>
      </w:pPr>
      <w:r>
        <w:rPr>
          <w:b/>
        </w:rPr>
        <w:t xml:space="preserve">OBJETIVO GERAL:  </w:t>
      </w:r>
    </w:p>
    <w:p w:rsidR="005579F7" w:rsidRDefault="00622165">
      <w:pPr>
        <w:ind w:left="2" w:right="0"/>
      </w:pPr>
      <w:r>
        <w:lastRenderedPageBreak/>
        <w:t xml:space="preserve">Descrever a presença de ceratoconjuntivite seca e alterações pupilares em uma amostra de pacientes com Polineuropatia </w:t>
      </w:r>
      <w:proofErr w:type="spellStart"/>
      <w:r>
        <w:t>Amiloidótica</w:t>
      </w:r>
      <w:proofErr w:type="spellEnd"/>
      <w:r>
        <w:t xml:space="preserve"> Familiar (PAF) em uma amostra oriunda de uma coorte seguida pelo Sistema Único de Saúde do Estado da Bahia.  </w:t>
      </w:r>
    </w:p>
    <w:p w:rsidR="005579F7" w:rsidRDefault="00622165">
      <w:pPr>
        <w:spacing w:after="117" w:line="259" w:lineRule="auto"/>
        <w:ind w:left="0" w:right="0" w:firstLine="0"/>
        <w:jc w:val="left"/>
      </w:pPr>
      <w:r>
        <w:rPr>
          <w:b/>
        </w:rPr>
        <w:t xml:space="preserve"> </w:t>
      </w:r>
    </w:p>
    <w:p w:rsidR="005579F7" w:rsidRDefault="00622165">
      <w:pPr>
        <w:spacing w:after="119" w:line="259" w:lineRule="auto"/>
        <w:ind w:left="-5" w:right="485"/>
        <w:jc w:val="left"/>
      </w:pPr>
      <w:r>
        <w:rPr>
          <w:b/>
        </w:rPr>
        <w:t>OBJETIVOS ESP</w:t>
      </w:r>
      <w:r>
        <w:rPr>
          <w:b/>
        </w:rPr>
        <w:t xml:space="preserve">ECÍFICOS:  </w:t>
      </w:r>
    </w:p>
    <w:p w:rsidR="005579F7" w:rsidRDefault="00622165">
      <w:pPr>
        <w:numPr>
          <w:ilvl w:val="0"/>
          <w:numId w:val="2"/>
        </w:numPr>
        <w:ind w:right="0" w:hanging="360"/>
      </w:pPr>
      <w:r>
        <w:t xml:space="preserve">Descrever o perfil demográfico dos pacientes com </w:t>
      </w:r>
      <w:proofErr w:type="spellStart"/>
      <w:r>
        <w:t>Amiloidose</w:t>
      </w:r>
      <w:proofErr w:type="spellEnd"/>
      <w:r>
        <w:t xml:space="preserve"> Hereditária em uma amostra oriunda de uma coorte seguida pelo Sistema Único de Saúde do Estado da Bahia. </w:t>
      </w:r>
    </w:p>
    <w:p w:rsidR="005579F7" w:rsidRDefault="00622165">
      <w:pPr>
        <w:numPr>
          <w:ilvl w:val="0"/>
          <w:numId w:val="2"/>
        </w:numPr>
        <w:ind w:right="0" w:hanging="360"/>
      </w:pPr>
      <w:r>
        <w:t xml:space="preserve">Descrever a sintomatologia dos pacientes com </w:t>
      </w:r>
      <w:proofErr w:type="spellStart"/>
      <w:r>
        <w:t>Amiloidose</w:t>
      </w:r>
      <w:proofErr w:type="spellEnd"/>
      <w:r>
        <w:t xml:space="preserve"> Hereditária em uma amo</w:t>
      </w:r>
      <w:r>
        <w:t xml:space="preserve">stra oriunda de uma coorte seguida pelo Sistema Único de Saúde do Estado da Bahia. </w:t>
      </w:r>
    </w:p>
    <w:p w:rsidR="005579F7" w:rsidRDefault="00622165">
      <w:pPr>
        <w:spacing w:after="117" w:line="259" w:lineRule="auto"/>
        <w:ind w:left="36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8"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pStyle w:val="Ttulo1"/>
        <w:ind w:left="-5" w:right="485"/>
      </w:pPr>
      <w:bookmarkStart w:id="3" w:name="_Toc36423"/>
      <w:r>
        <w:t xml:space="preserve">3 REVISÃO DE LITERATURA </w:t>
      </w:r>
      <w:bookmarkEnd w:id="3"/>
    </w:p>
    <w:p w:rsidR="005579F7" w:rsidRDefault="00622165">
      <w:pPr>
        <w:spacing w:after="357" w:line="259" w:lineRule="auto"/>
        <w:ind w:left="0" w:right="0" w:firstLine="0"/>
        <w:jc w:val="left"/>
      </w:pPr>
      <w:r>
        <w:t xml:space="preserve"> </w:t>
      </w:r>
    </w:p>
    <w:p w:rsidR="005579F7" w:rsidRDefault="00622165">
      <w:pPr>
        <w:pStyle w:val="Ttulo2"/>
        <w:ind w:left="-5" w:right="485"/>
      </w:pPr>
      <w:bookmarkStart w:id="4" w:name="_Toc36424"/>
      <w:proofErr w:type="gramStart"/>
      <w:r>
        <w:lastRenderedPageBreak/>
        <w:t xml:space="preserve">3.1  </w:t>
      </w:r>
      <w:proofErr w:type="spellStart"/>
      <w:r>
        <w:t>Amiloidose</w:t>
      </w:r>
      <w:proofErr w:type="spellEnd"/>
      <w:proofErr w:type="gramEnd"/>
      <w:r>
        <w:t xml:space="preserve"> </w:t>
      </w:r>
      <w:bookmarkEnd w:id="4"/>
    </w:p>
    <w:p w:rsidR="005579F7" w:rsidRDefault="00622165">
      <w:pPr>
        <w:spacing w:after="117" w:line="259" w:lineRule="auto"/>
        <w:ind w:left="0" w:right="0" w:firstLine="0"/>
        <w:jc w:val="left"/>
      </w:pPr>
      <w:r>
        <w:t xml:space="preserve"> </w:t>
      </w:r>
    </w:p>
    <w:p w:rsidR="005579F7" w:rsidRDefault="00622165">
      <w:pPr>
        <w:spacing w:after="53"/>
        <w:ind w:left="2" w:right="0"/>
      </w:pPr>
      <w:r>
        <w:t>O termo '</w:t>
      </w:r>
      <w:proofErr w:type="spellStart"/>
      <w:r>
        <w:t>Amiloidose</w:t>
      </w:r>
      <w:proofErr w:type="spellEnd"/>
      <w:r>
        <w:t>' abrange uma variedade de condições patológicas resultantes de alterações na conformação de proteínas solúveis naturais, que se agregam de maneira extracelular em fibrilas insolúveis e altamente organizadas</w:t>
      </w:r>
      <w:r>
        <w:rPr>
          <w:vertAlign w:val="superscript"/>
        </w:rPr>
        <w:t>14</w:t>
      </w:r>
      <w:r>
        <w:t xml:space="preserve">. Essa transformação ocorre </w:t>
      </w:r>
      <w:r>
        <w:t xml:space="preserve">primariamente como resultado de mutações genéticas, mas também pode estar associada secundariamente a processos inflamatórios, degenerativos e neoplásicos </w:t>
      </w:r>
      <w:r>
        <w:rPr>
          <w:vertAlign w:val="superscript"/>
        </w:rPr>
        <w:t>14–16</w:t>
      </w:r>
      <w:r>
        <w:t xml:space="preserve">. </w:t>
      </w:r>
    </w:p>
    <w:p w:rsidR="005579F7" w:rsidRDefault="00622165">
      <w:pPr>
        <w:spacing w:after="115" w:line="259" w:lineRule="auto"/>
        <w:ind w:left="0" w:right="0" w:firstLine="0"/>
        <w:jc w:val="left"/>
      </w:pPr>
      <w:r>
        <w:t xml:space="preserve"> </w:t>
      </w:r>
    </w:p>
    <w:p w:rsidR="005579F7" w:rsidRDefault="00622165">
      <w:pPr>
        <w:spacing w:after="47"/>
        <w:ind w:left="2" w:right="0"/>
      </w:pPr>
      <w:r>
        <w:t xml:space="preserve">A </w:t>
      </w:r>
      <w:proofErr w:type="spellStart"/>
      <w:r>
        <w:t>Amiloidose</w:t>
      </w:r>
      <w:proofErr w:type="spellEnd"/>
      <w:r>
        <w:t xml:space="preserve"> Hereditária (</w:t>
      </w:r>
      <w:proofErr w:type="spellStart"/>
      <w:r>
        <w:t>ATTRv</w:t>
      </w:r>
      <w:proofErr w:type="spellEnd"/>
      <w:r>
        <w:t>) tem sua origem em mutações de caráter autossômico dominant</w:t>
      </w:r>
      <w:r>
        <w:t xml:space="preserve">e que afetam a produção de proteínas hepáticas quando manifestadas. A proteína mais frequentemente envolvida nesse processo é a </w:t>
      </w:r>
      <w:proofErr w:type="spellStart"/>
      <w:r>
        <w:t>Transtirretina</w:t>
      </w:r>
      <w:proofErr w:type="spellEnd"/>
      <w:r>
        <w:t xml:space="preserve"> (TTR), cuja função fisiológica é transportar vitamina A e hormônios tireoidianos no plasma sanguíneo. Entretanto,</w:t>
      </w:r>
      <w:r>
        <w:t xml:space="preserve"> sob a influência de uma dessas mutações, as subunidades da TTR se organizam em uma estrutura fibrilar insolúvel que se deposita em diversos tecidos do organismo. Esse processo leva à dissociação da estrutura </w:t>
      </w:r>
      <w:proofErr w:type="spellStart"/>
      <w:r>
        <w:t>tetramérica</w:t>
      </w:r>
      <w:proofErr w:type="spellEnd"/>
      <w:r>
        <w:t xml:space="preserve"> da TTR em monômeros, que posteriorm</w:t>
      </w:r>
      <w:r>
        <w:t xml:space="preserve">ente formam agregados de filamentos amiloides </w:t>
      </w:r>
      <w:r>
        <w:rPr>
          <w:vertAlign w:val="superscript"/>
        </w:rPr>
        <w:t>9,13,17</w:t>
      </w:r>
      <w:r>
        <w:t xml:space="preserve">. </w:t>
      </w:r>
    </w:p>
    <w:p w:rsidR="005579F7" w:rsidRDefault="00622165">
      <w:pPr>
        <w:spacing w:after="117" w:line="259" w:lineRule="auto"/>
        <w:ind w:left="0" w:right="0" w:firstLine="0"/>
        <w:jc w:val="left"/>
      </w:pPr>
      <w:r>
        <w:t xml:space="preserve"> </w:t>
      </w:r>
    </w:p>
    <w:p w:rsidR="005579F7" w:rsidRDefault="00622165">
      <w:pPr>
        <w:spacing w:after="30"/>
        <w:ind w:left="2" w:right="0"/>
      </w:pPr>
      <w:r>
        <w:t xml:space="preserve">A </w:t>
      </w:r>
      <w:proofErr w:type="spellStart"/>
      <w:r>
        <w:t>ATTRv</w:t>
      </w:r>
      <w:proofErr w:type="spellEnd"/>
      <w:r>
        <w:t xml:space="preserve"> é uma doença complexa e </w:t>
      </w:r>
      <w:proofErr w:type="spellStart"/>
      <w:r>
        <w:t>polissintomática</w:t>
      </w:r>
      <w:proofErr w:type="spellEnd"/>
      <w:r>
        <w:t>, podendo se manifestar de diversas maneiras, incluindo neuropatia periférica (sensorial e motora), neuropatia autonômica, comprometimento gastrointes</w:t>
      </w:r>
      <w:r>
        <w:t>tinal, cardiomiopatia, nefropatia ou envolvimento ocular.</w:t>
      </w:r>
      <w:r>
        <w:rPr>
          <w:vertAlign w:val="superscript"/>
        </w:rPr>
        <w:t>2</w:t>
      </w:r>
      <w:r>
        <w:t xml:space="preserve"> No Brasil, assim como em outras regiões como Japão, Portugal e Suíça, a Polineuropatia Amiloide Familiar (PAF) é considerada endêmica, sendo a mutação ATTR Val50Met a mais prevalente em todo o mund</w:t>
      </w:r>
      <w:r>
        <w:t>o.</w:t>
      </w:r>
      <w:r>
        <w:rPr>
          <w:vertAlign w:val="superscript"/>
        </w:rPr>
        <w:t>18</w:t>
      </w:r>
      <w:r>
        <w:t xml:space="preserve"> </w:t>
      </w:r>
    </w:p>
    <w:p w:rsidR="005579F7" w:rsidRDefault="00622165">
      <w:pPr>
        <w:spacing w:after="115" w:line="259" w:lineRule="auto"/>
        <w:ind w:left="0" w:right="0" w:firstLine="0"/>
        <w:jc w:val="left"/>
      </w:pPr>
      <w:r>
        <w:t xml:space="preserve"> </w:t>
      </w:r>
    </w:p>
    <w:p w:rsidR="005579F7" w:rsidRDefault="00622165">
      <w:pPr>
        <w:spacing w:after="59"/>
        <w:ind w:left="2" w:right="0"/>
      </w:pPr>
      <w:r>
        <w:t xml:space="preserve">O envolvimento do sistema nervoso autônomo é responsável por sintomas como anidrose, impotência sexual, distúrbios da motilidade gastrointestinal (frequentemente caracterizados por diarreia alternada com constipação, mas também incluindo náuseas e </w:t>
      </w:r>
      <w:r>
        <w:t>vômitos), hipotensão ortostática e bexiga neurogênica. Com base em nossa experiência, observamos que a doença cardíaca afeta cerca de 50% dos pacientes com TTR-FAP, com a maioria das mutações da TTR associada à cardiomiopatia amiloide. Além disso, anemia d</w:t>
      </w:r>
      <w:r>
        <w:t xml:space="preserve">evido a baixos níveis de eritropoietina também pode ser uma característica presente. O envolvimento ocular, manifestado </w:t>
      </w:r>
      <w:r>
        <w:lastRenderedPageBreak/>
        <w:t>por opacidade vítrea, olho seco, glaucoma e distúrbios pupilares, é uma manifestação comum da doença.</w:t>
      </w:r>
      <w:r>
        <w:rPr>
          <w:vertAlign w:val="superscript"/>
        </w:rPr>
        <w:t xml:space="preserve">2 </w:t>
      </w:r>
    </w:p>
    <w:p w:rsidR="005579F7" w:rsidRDefault="00622165">
      <w:pPr>
        <w:spacing w:after="357" w:line="259" w:lineRule="auto"/>
        <w:ind w:left="0" w:right="0" w:firstLine="0"/>
        <w:jc w:val="left"/>
      </w:pPr>
      <w:r>
        <w:t xml:space="preserve"> </w:t>
      </w:r>
    </w:p>
    <w:p w:rsidR="005579F7" w:rsidRDefault="00622165">
      <w:pPr>
        <w:pStyle w:val="Ttulo2"/>
        <w:ind w:left="-5" w:right="485"/>
      </w:pPr>
      <w:bookmarkStart w:id="5" w:name="_Toc36425"/>
      <w:proofErr w:type="gramStart"/>
      <w:r>
        <w:t>3.2  Classificação</w:t>
      </w:r>
      <w:proofErr w:type="gramEnd"/>
      <w:r>
        <w:t xml:space="preserve"> </w:t>
      </w:r>
      <w:bookmarkEnd w:id="5"/>
    </w:p>
    <w:p w:rsidR="005579F7" w:rsidRDefault="00622165">
      <w:pPr>
        <w:spacing w:after="147" w:line="259" w:lineRule="auto"/>
        <w:ind w:left="2" w:right="0"/>
      </w:pPr>
      <w:r>
        <w:t>Coutinho c</w:t>
      </w:r>
      <w:r>
        <w:t xml:space="preserve">lassifica a </w:t>
      </w:r>
      <w:proofErr w:type="spellStart"/>
      <w:r>
        <w:t>ATTRv</w:t>
      </w:r>
      <w:proofErr w:type="spellEnd"/>
      <w:r>
        <w:t xml:space="preserve"> quanto a gravidade em quatro </w:t>
      </w:r>
      <w:proofErr w:type="gramStart"/>
      <w:r>
        <w:t xml:space="preserve">estágios </w:t>
      </w:r>
      <w:r>
        <w:rPr>
          <w:vertAlign w:val="superscript"/>
        </w:rPr>
        <w:t xml:space="preserve"> 2</w:t>
      </w:r>
      <w:proofErr w:type="gramEnd"/>
      <w:r>
        <w:rPr>
          <w:vertAlign w:val="superscript"/>
        </w:rPr>
        <w:t>,9</w:t>
      </w:r>
      <w:r>
        <w:t xml:space="preserve"> :  </w:t>
      </w:r>
    </w:p>
    <w:p w:rsidR="005579F7" w:rsidRDefault="00622165">
      <w:pPr>
        <w:spacing w:after="117" w:line="259" w:lineRule="auto"/>
        <w:ind w:left="2" w:right="0"/>
      </w:pPr>
      <w:proofErr w:type="spellStart"/>
      <w:r>
        <w:t>Estágio</w:t>
      </w:r>
      <w:proofErr w:type="spellEnd"/>
      <w:r>
        <w:t xml:space="preserve"> 0: </w:t>
      </w:r>
      <w:proofErr w:type="spellStart"/>
      <w:r>
        <w:t>assintomático</w:t>
      </w:r>
      <w:proofErr w:type="spellEnd"/>
      <w:r>
        <w:t xml:space="preserve">;  </w:t>
      </w:r>
    </w:p>
    <w:p w:rsidR="005579F7" w:rsidRDefault="00622165">
      <w:pPr>
        <w:ind w:left="2" w:right="0"/>
      </w:pPr>
      <w:proofErr w:type="spellStart"/>
      <w:r>
        <w:t>Estágio</w:t>
      </w:r>
      <w:proofErr w:type="spellEnd"/>
      <w:r>
        <w:t xml:space="preserve"> I: neuropatia </w:t>
      </w:r>
      <w:proofErr w:type="spellStart"/>
      <w:r>
        <w:t>autonômica</w:t>
      </w:r>
      <w:proofErr w:type="spellEnd"/>
      <w:r>
        <w:t xml:space="preserve"> e </w:t>
      </w:r>
      <w:proofErr w:type="spellStart"/>
      <w:r>
        <w:t>sensomotora</w:t>
      </w:r>
      <w:proofErr w:type="spellEnd"/>
      <w:r>
        <w:t xml:space="preserve"> leve limitada aos membros inferiores sem </w:t>
      </w:r>
      <w:proofErr w:type="spellStart"/>
      <w:r>
        <w:t>distúrbios</w:t>
      </w:r>
      <w:proofErr w:type="spellEnd"/>
      <w:r>
        <w:t xml:space="preserve"> de marcha;  </w:t>
      </w:r>
    </w:p>
    <w:p w:rsidR="005579F7" w:rsidRDefault="00622165">
      <w:pPr>
        <w:ind w:left="2" w:right="0"/>
      </w:pPr>
      <w:proofErr w:type="spellStart"/>
      <w:r>
        <w:t>Estágio</w:t>
      </w:r>
      <w:proofErr w:type="spellEnd"/>
      <w:r>
        <w:t xml:space="preserve"> II: necessidade de apoio para a marcha, </w:t>
      </w:r>
      <w:proofErr w:type="spellStart"/>
      <w:r>
        <w:t>progressão</w:t>
      </w:r>
      <w:proofErr w:type="spellEnd"/>
      <w:r>
        <w:t xml:space="preserve"> da neuropatia de comprometimento principalmente moderado para os membros inferiores, membros superiores e tronco, </w:t>
      </w:r>
      <w:proofErr w:type="spellStart"/>
      <w:r>
        <w:t>além</w:t>
      </w:r>
      <w:proofErr w:type="spellEnd"/>
      <w:r>
        <w:t xml:space="preserve"> de atrofia muscular;  </w:t>
      </w:r>
    </w:p>
    <w:p w:rsidR="005579F7" w:rsidRDefault="00622165">
      <w:pPr>
        <w:ind w:left="2" w:right="0"/>
      </w:pPr>
      <w:proofErr w:type="spellStart"/>
      <w:r>
        <w:t>Estágio</w:t>
      </w:r>
      <w:proofErr w:type="spellEnd"/>
      <w:r>
        <w:t xml:space="preserve"> III: </w:t>
      </w:r>
      <w:proofErr w:type="spellStart"/>
      <w:r>
        <w:t>estágio</w:t>
      </w:r>
      <w:proofErr w:type="spellEnd"/>
      <w:r>
        <w:t xml:space="preserve"> terminal, com paciente acamad</w:t>
      </w:r>
      <w:r>
        <w:t xml:space="preserve">o ou com uso de cadeira de rodas, </w:t>
      </w:r>
      <w:proofErr w:type="spellStart"/>
      <w:r>
        <w:t>além</w:t>
      </w:r>
      <w:proofErr w:type="spellEnd"/>
      <w:r>
        <w:t xml:space="preserve"> da </w:t>
      </w:r>
      <w:proofErr w:type="spellStart"/>
      <w:r>
        <w:t>presença</w:t>
      </w:r>
      <w:proofErr w:type="spellEnd"/>
      <w:r>
        <w:t xml:space="preserve"> de sintomas motores, sensitivos e </w:t>
      </w:r>
      <w:proofErr w:type="spellStart"/>
      <w:r>
        <w:t>autonômicos</w:t>
      </w:r>
      <w:proofErr w:type="spellEnd"/>
      <w:r>
        <w:t xml:space="preserve"> severos.  </w:t>
      </w:r>
    </w:p>
    <w:p w:rsidR="005579F7" w:rsidRDefault="00622165">
      <w:pPr>
        <w:spacing w:after="115" w:line="259" w:lineRule="auto"/>
        <w:ind w:left="0" w:right="0" w:firstLine="0"/>
        <w:jc w:val="left"/>
      </w:pPr>
      <w:r>
        <w:t xml:space="preserve"> </w:t>
      </w:r>
    </w:p>
    <w:p w:rsidR="005579F7" w:rsidRDefault="00622165">
      <w:pPr>
        <w:ind w:left="2" w:right="0"/>
      </w:pPr>
      <w:r>
        <w:t xml:space="preserve">Ademais, a </w:t>
      </w:r>
      <w:proofErr w:type="spellStart"/>
      <w:r>
        <w:t>ATTRv</w:t>
      </w:r>
      <w:proofErr w:type="spellEnd"/>
      <w:r>
        <w:t xml:space="preserve"> pode ser classificada quanto a gravidade pela avaliação dos escores neurológicos funcionais por meio do </w:t>
      </w:r>
      <w:proofErr w:type="spellStart"/>
      <w:r>
        <w:t>polyneyropathy</w:t>
      </w:r>
      <w:proofErr w:type="spellEnd"/>
      <w:r>
        <w:t xml:space="preserve"> </w:t>
      </w:r>
      <w:proofErr w:type="spellStart"/>
      <w:r>
        <w:t>disabil</w:t>
      </w:r>
      <w:r>
        <w:t>ity</w:t>
      </w:r>
      <w:proofErr w:type="spellEnd"/>
      <w:r>
        <w:t xml:space="preserve"> score (PND) e avaliação sensitivo-motora pelo </w:t>
      </w:r>
      <w:proofErr w:type="spellStart"/>
      <w:r>
        <w:t>Neuropathy</w:t>
      </w:r>
      <w:proofErr w:type="spellEnd"/>
      <w:r>
        <w:t xml:space="preserve"> </w:t>
      </w:r>
      <w:proofErr w:type="spellStart"/>
      <w:r>
        <w:t>Impairment</w:t>
      </w:r>
      <w:proofErr w:type="spellEnd"/>
      <w:r>
        <w:t xml:space="preserve"> Score (NIS) </w:t>
      </w:r>
    </w:p>
    <w:p w:rsidR="005579F7" w:rsidRDefault="00622165">
      <w:pPr>
        <w:spacing w:after="117" w:line="259" w:lineRule="auto"/>
        <w:ind w:left="0" w:right="0" w:firstLine="0"/>
        <w:jc w:val="left"/>
      </w:pPr>
      <w:r>
        <w:t xml:space="preserve"> </w:t>
      </w:r>
    </w:p>
    <w:p w:rsidR="005579F7" w:rsidRDefault="00622165">
      <w:pPr>
        <w:ind w:left="2" w:right="0"/>
      </w:pPr>
      <w:r>
        <w:t>Quadro 1. - Estágio da doença de acordo com a gravidade dos sintomas. Adaptado de Adams, 2016</w:t>
      </w:r>
      <w:r>
        <w:rPr>
          <w:vertAlign w:val="superscript"/>
        </w:rPr>
        <w:t>19</w:t>
      </w:r>
      <w:r>
        <w:t xml:space="preserve"> </w:t>
      </w:r>
    </w:p>
    <w:p w:rsidR="005579F7" w:rsidRDefault="00622165">
      <w:pPr>
        <w:spacing w:after="8" w:line="259" w:lineRule="auto"/>
        <w:ind w:left="0" w:right="0" w:firstLine="0"/>
        <w:jc w:val="left"/>
      </w:pPr>
      <w:r>
        <w:rPr>
          <w:rFonts w:ascii="Calibri" w:eastAsia="Calibri" w:hAnsi="Calibri" w:cs="Calibri"/>
          <w:noProof/>
          <w:sz w:val="22"/>
        </w:rPr>
        <mc:AlternateContent>
          <mc:Choice Requires="wpg">
            <w:drawing>
              <wp:inline distT="0" distB="0" distL="0" distR="0">
                <wp:extent cx="5753939" cy="6096"/>
                <wp:effectExtent l="0" t="0" r="0" b="0"/>
                <wp:docPr id="28709" name="Group 28709"/>
                <wp:cNvGraphicFramePr/>
                <a:graphic xmlns:a="http://schemas.openxmlformats.org/drawingml/2006/main">
                  <a:graphicData uri="http://schemas.microsoft.com/office/word/2010/wordprocessingGroup">
                    <wpg:wgp>
                      <wpg:cNvGrpSpPr/>
                      <wpg:grpSpPr>
                        <a:xfrm>
                          <a:off x="0" y="0"/>
                          <a:ext cx="5753939" cy="6096"/>
                          <a:chOff x="0" y="0"/>
                          <a:chExt cx="5753939" cy="6096"/>
                        </a:xfrm>
                      </wpg:grpSpPr>
                      <wps:wsp>
                        <wps:cNvPr id="36741" name="Shape 36741"/>
                        <wps:cNvSpPr/>
                        <wps:spPr>
                          <a:xfrm>
                            <a:off x="0" y="0"/>
                            <a:ext cx="1917446" cy="9144"/>
                          </a:xfrm>
                          <a:custGeom>
                            <a:avLst/>
                            <a:gdLst/>
                            <a:ahLst/>
                            <a:cxnLst/>
                            <a:rect l="0" t="0" r="0" b="0"/>
                            <a:pathLst>
                              <a:path w="1917446" h="9144">
                                <a:moveTo>
                                  <a:pt x="0" y="0"/>
                                </a:moveTo>
                                <a:lnTo>
                                  <a:pt x="1917446" y="0"/>
                                </a:lnTo>
                                <a:lnTo>
                                  <a:pt x="191744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42" name="Shape 36742"/>
                        <wps:cNvSpPr/>
                        <wps:spPr>
                          <a:xfrm>
                            <a:off x="19175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43" name="Shape 36743"/>
                        <wps:cNvSpPr/>
                        <wps:spPr>
                          <a:xfrm>
                            <a:off x="1923618" y="0"/>
                            <a:ext cx="1912874" cy="9144"/>
                          </a:xfrm>
                          <a:custGeom>
                            <a:avLst/>
                            <a:gdLst/>
                            <a:ahLst/>
                            <a:cxnLst/>
                            <a:rect l="0" t="0" r="0" b="0"/>
                            <a:pathLst>
                              <a:path w="1912874" h="9144">
                                <a:moveTo>
                                  <a:pt x="0" y="0"/>
                                </a:moveTo>
                                <a:lnTo>
                                  <a:pt x="1912874" y="0"/>
                                </a:lnTo>
                                <a:lnTo>
                                  <a:pt x="191287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44" name="Shape 36744"/>
                        <wps:cNvSpPr/>
                        <wps:spPr>
                          <a:xfrm>
                            <a:off x="38364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45" name="Shape 36745"/>
                        <wps:cNvSpPr/>
                        <wps:spPr>
                          <a:xfrm>
                            <a:off x="3842588" y="0"/>
                            <a:ext cx="1911350" cy="9144"/>
                          </a:xfrm>
                          <a:custGeom>
                            <a:avLst/>
                            <a:gdLst/>
                            <a:ahLst/>
                            <a:cxnLst/>
                            <a:rect l="0" t="0" r="0" b="0"/>
                            <a:pathLst>
                              <a:path w="1911350" h="9144">
                                <a:moveTo>
                                  <a:pt x="0" y="0"/>
                                </a:moveTo>
                                <a:lnTo>
                                  <a:pt x="1911350" y="0"/>
                                </a:lnTo>
                                <a:lnTo>
                                  <a:pt x="191135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8709" style="width:453.066pt;height:0.47998pt;mso-position-horizontal-relative:char;mso-position-vertical-relative:line" coordsize="57539,60">
                <v:shape id="Shape 36746" style="position:absolute;width:19174;height:91;left:0;top:0;" coordsize="1917446,9144" path="m0,0l1917446,0l1917446,9144l0,9144l0,0">
                  <v:stroke weight="0pt" endcap="flat" joinstyle="miter" miterlimit="10" on="false" color="#000000" opacity="0"/>
                  <v:fill on="true" color="#7f7f7f"/>
                </v:shape>
                <v:shape id="Shape 36747" style="position:absolute;width:91;height:91;left:19175;top:0;" coordsize="9144,9144" path="m0,0l9144,0l9144,9144l0,9144l0,0">
                  <v:stroke weight="0pt" endcap="flat" joinstyle="miter" miterlimit="10" on="false" color="#000000" opacity="0"/>
                  <v:fill on="true" color="#7f7f7f"/>
                </v:shape>
                <v:shape id="Shape 36748" style="position:absolute;width:19128;height:91;left:19236;top:0;" coordsize="1912874,9144" path="m0,0l1912874,0l1912874,9144l0,9144l0,0">
                  <v:stroke weight="0pt" endcap="flat" joinstyle="miter" miterlimit="10" on="false" color="#000000" opacity="0"/>
                  <v:fill on="true" color="#7f7f7f"/>
                </v:shape>
                <v:shape id="Shape 36749" style="position:absolute;width:91;height:91;left:38364;top:0;" coordsize="9144,9144" path="m0,0l9144,0l9144,9144l0,9144l0,0">
                  <v:stroke weight="0pt" endcap="flat" joinstyle="miter" miterlimit="10" on="false" color="#000000" opacity="0"/>
                  <v:fill on="true" color="#7f7f7f"/>
                </v:shape>
                <v:shape id="Shape 36750" style="position:absolute;width:19113;height:91;left:38425;top:0;" coordsize="1911350,9144" path="m0,0l1911350,0l1911350,9144l0,9144l0,0">
                  <v:stroke weight="0pt" endcap="flat" joinstyle="miter" miterlimit="10" on="false" color="#000000" opacity="0"/>
                  <v:fill on="true" color="#7f7f7f"/>
                </v:shape>
              </v:group>
            </w:pict>
          </mc:Fallback>
        </mc:AlternateContent>
      </w:r>
    </w:p>
    <w:p w:rsidR="005579F7" w:rsidRDefault="00622165">
      <w:pPr>
        <w:tabs>
          <w:tab w:val="center" w:pos="3629"/>
          <w:tab w:val="center" w:pos="6401"/>
        </w:tabs>
        <w:spacing w:after="125" w:line="259" w:lineRule="auto"/>
        <w:ind w:left="0" w:right="0" w:firstLine="0"/>
        <w:jc w:val="left"/>
      </w:pPr>
      <w:proofErr w:type="gramStart"/>
      <w:r>
        <w:rPr>
          <w:b/>
        </w:rPr>
        <w:t xml:space="preserve">Estágio  </w:t>
      </w:r>
      <w:r>
        <w:rPr>
          <w:b/>
        </w:rPr>
        <w:tab/>
      </w:r>
      <w:proofErr w:type="gramEnd"/>
      <w:r>
        <w:t xml:space="preserve">Sintomas </w:t>
      </w:r>
      <w:r>
        <w:tab/>
        <w:t xml:space="preserve">PND </w:t>
      </w:r>
    </w:p>
    <w:p w:rsidR="005579F7" w:rsidRDefault="00622165">
      <w:pPr>
        <w:tabs>
          <w:tab w:val="center" w:pos="3876"/>
          <w:tab w:val="center" w:pos="6187"/>
        </w:tabs>
        <w:spacing w:after="123" w:line="259" w:lineRule="auto"/>
        <w:ind w:left="0" w:right="0" w:firstLine="0"/>
        <w:jc w:val="left"/>
      </w:pPr>
      <w:r>
        <w:rPr>
          <w:b/>
        </w:rPr>
        <w:t xml:space="preserve">Estágio </w:t>
      </w:r>
      <w:proofErr w:type="gramStart"/>
      <w:r>
        <w:rPr>
          <w:b/>
        </w:rPr>
        <w:t xml:space="preserve">0  </w:t>
      </w:r>
      <w:r>
        <w:rPr>
          <w:b/>
        </w:rPr>
        <w:tab/>
      </w:r>
      <w:proofErr w:type="gramEnd"/>
      <w:r>
        <w:t xml:space="preserve">Assintomático </w:t>
      </w:r>
      <w:r>
        <w:tab/>
        <w:t xml:space="preserve">- </w:t>
      </w:r>
    </w:p>
    <w:p w:rsidR="005579F7" w:rsidRDefault="00622165">
      <w:pPr>
        <w:spacing w:after="117" w:line="259" w:lineRule="auto"/>
        <w:ind w:left="3128" w:right="0" w:firstLine="0"/>
        <w:jc w:val="left"/>
      </w:pPr>
      <w:r>
        <w:t xml:space="preserve"> </w:t>
      </w:r>
    </w:p>
    <w:p w:rsidR="005579F7" w:rsidRDefault="00622165">
      <w:pPr>
        <w:spacing w:after="3" w:line="364" w:lineRule="auto"/>
        <w:ind w:left="3128" w:right="0" w:hanging="3020"/>
        <w:jc w:val="left"/>
      </w:pPr>
      <w:r>
        <w:rPr>
          <w:b/>
        </w:rPr>
        <w:t xml:space="preserve">Estágio I (Estágio Inicial) </w:t>
      </w:r>
      <w:r>
        <w:t xml:space="preserve">Leve, </w:t>
      </w:r>
      <w:r>
        <w:tab/>
        <w:t xml:space="preserve">ambulatorial, I. Distúrbios sensitivos </w:t>
      </w:r>
      <w:proofErr w:type="gramStart"/>
      <w:r>
        <w:t>nas sintomas limitados</w:t>
      </w:r>
      <w:proofErr w:type="gramEnd"/>
      <w:r>
        <w:t xml:space="preserve"> aos extremidades, contudo a membros inferiores </w:t>
      </w:r>
      <w:r>
        <w:tab/>
        <w:t xml:space="preserve">capacidade </w:t>
      </w:r>
      <w:r>
        <w:tab/>
        <w:t xml:space="preserve">de </w:t>
      </w:r>
    </w:p>
    <w:p w:rsidR="005579F7" w:rsidRDefault="00622165">
      <w:pPr>
        <w:ind w:left="6157" w:right="0"/>
      </w:pPr>
      <w:r>
        <w:t xml:space="preserve">deambulação encontra-se preservada </w:t>
      </w:r>
    </w:p>
    <w:p w:rsidR="005579F7" w:rsidRDefault="00622165">
      <w:pPr>
        <w:spacing w:after="0" w:line="366" w:lineRule="auto"/>
        <w:ind w:left="4639" w:right="124" w:firstLine="0"/>
        <w:jc w:val="right"/>
      </w:pPr>
      <w:r>
        <w:t xml:space="preserve">II. </w:t>
      </w:r>
      <w:r>
        <w:tab/>
        <w:t xml:space="preserve">Dificuldade </w:t>
      </w:r>
      <w:r>
        <w:tab/>
        <w:t xml:space="preserve">para deambulação, porém sem </w:t>
      </w:r>
    </w:p>
    <w:p w:rsidR="005579F7" w:rsidRDefault="00622165">
      <w:pPr>
        <w:spacing w:after="0" w:line="259" w:lineRule="auto"/>
        <w:ind w:left="-14" w:right="0" w:firstLine="0"/>
        <w:jc w:val="left"/>
      </w:pPr>
      <w:r>
        <w:rPr>
          <w:rFonts w:ascii="Calibri" w:eastAsia="Calibri" w:hAnsi="Calibri" w:cs="Calibri"/>
          <w:noProof/>
          <w:sz w:val="22"/>
        </w:rPr>
        <mc:AlternateContent>
          <mc:Choice Requires="wpg">
            <w:drawing>
              <wp:inline distT="0" distB="0" distL="0" distR="0">
                <wp:extent cx="5763083" cy="6097"/>
                <wp:effectExtent l="0" t="0" r="0" b="0"/>
                <wp:docPr id="28710" name="Group 28710"/>
                <wp:cNvGraphicFramePr/>
                <a:graphic xmlns:a="http://schemas.openxmlformats.org/drawingml/2006/main">
                  <a:graphicData uri="http://schemas.microsoft.com/office/word/2010/wordprocessingGroup">
                    <wpg:wgp>
                      <wpg:cNvGrpSpPr/>
                      <wpg:grpSpPr>
                        <a:xfrm>
                          <a:off x="0" y="0"/>
                          <a:ext cx="5763083" cy="6097"/>
                          <a:chOff x="0" y="0"/>
                          <a:chExt cx="5763083" cy="6097"/>
                        </a:xfrm>
                      </wpg:grpSpPr>
                      <wps:wsp>
                        <wps:cNvPr id="36751" name="Shape 36751"/>
                        <wps:cNvSpPr/>
                        <wps:spPr>
                          <a:xfrm>
                            <a:off x="0" y="0"/>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52" name="Shape 36752"/>
                        <wps:cNvSpPr/>
                        <wps:spPr>
                          <a:xfrm>
                            <a:off x="19175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53" name="Shape 36753"/>
                        <wps:cNvSpPr/>
                        <wps:spPr>
                          <a:xfrm>
                            <a:off x="1923618"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54" name="Shape 36754"/>
                        <wps:cNvSpPr/>
                        <wps:spPr>
                          <a:xfrm>
                            <a:off x="38364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55" name="Shape 36755"/>
                        <wps:cNvSpPr/>
                        <wps:spPr>
                          <a:xfrm>
                            <a:off x="3842588" y="0"/>
                            <a:ext cx="1920494" cy="9144"/>
                          </a:xfrm>
                          <a:custGeom>
                            <a:avLst/>
                            <a:gdLst/>
                            <a:ahLst/>
                            <a:cxnLst/>
                            <a:rect l="0" t="0" r="0" b="0"/>
                            <a:pathLst>
                              <a:path w="1920494" h="9144">
                                <a:moveTo>
                                  <a:pt x="0" y="0"/>
                                </a:moveTo>
                                <a:lnTo>
                                  <a:pt x="1920494" y="0"/>
                                </a:lnTo>
                                <a:lnTo>
                                  <a:pt x="192049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8710" style="width:453.786pt;height:0.480042pt;mso-position-horizontal-relative:char;mso-position-vertical-relative:line" coordsize="57630,60">
                <v:shape id="Shape 36756" style="position:absolute;width:19265;height:91;left:0;top:0;" coordsize="1926590,9144" path="m0,0l1926590,0l1926590,9144l0,9144l0,0">
                  <v:stroke weight="0pt" endcap="flat" joinstyle="miter" miterlimit="10" on="false" color="#000000" opacity="0"/>
                  <v:fill on="true" color="#7f7f7f"/>
                </v:shape>
                <v:shape id="Shape 36757" style="position:absolute;width:91;height:91;left:19175;top:0;" coordsize="9144,9144" path="m0,0l9144,0l9144,9144l0,9144l0,0">
                  <v:stroke weight="0pt" endcap="flat" joinstyle="miter" miterlimit="10" on="false" color="#000000" opacity="0"/>
                  <v:fill on="true" color="#7f7f7f"/>
                </v:shape>
                <v:shape id="Shape 36758" style="position:absolute;width:19220;height:91;left:19236;top:0;" coordsize="1922018,9144" path="m0,0l1922018,0l1922018,9144l0,9144l0,0">
                  <v:stroke weight="0pt" endcap="flat" joinstyle="miter" miterlimit="10" on="false" color="#000000" opacity="0"/>
                  <v:fill on="true" color="#7f7f7f"/>
                </v:shape>
                <v:shape id="Shape 36759" style="position:absolute;width:91;height:91;left:38364;top:0;" coordsize="9144,9144" path="m0,0l9144,0l9144,9144l0,9144l0,0">
                  <v:stroke weight="0pt" endcap="flat" joinstyle="miter" miterlimit="10" on="false" color="#000000" opacity="0"/>
                  <v:fill on="true" color="#7f7f7f"/>
                </v:shape>
                <v:shape id="Shape 36760" style="position:absolute;width:19204;height:91;left:38425;top:0;" coordsize="1920494,9144" path="m0,0l1920494,0l1920494,9144l0,9144l0,0">
                  <v:stroke weight="0pt" endcap="flat" joinstyle="miter" miterlimit="10" on="false" color="#000000" opacity="0"/>
                  <v:fill on="true" color="#7f7f7f"/>
                </v:shape>
              </v:group>
            </w:pict>
          </mc:Fallback>
        </mc:AlternateContent>
      </w:r>
    </w:p>
    <w:p w:rsidR="005579F7" w:rsidRDefault="00622165">
      <w:pPr>
        <w:spacing w:after="9" w:line="259" w:lineRule="auto"/>
        <w:ind w:left="0" w:right="0" w:firstLine="0"/>
        <w:jc w:val="left"/>
      </w:pPr>
      <w:r>
        <w:rPr>
          <w:rFonts w:ascii="Calibri" w:eastAsia="Calibri" w:hAnsi="Calibri" w:cs="Calibri"/>
          <w:noProof/>
          <w:sz w:val="22"/>
        </w:rPr>
        <mc:AlternateContent>
          <mc:Choice Requires="wpg">
            <w:drawing>
              <wp:inline distT="0" distB="0" distL="0" distR="0">
                <wp:extent cx="5753939" cy="6096"/>
                <wp:effectExtent l="0" t="0" r="0" b="0"/>
                <wp:docPr id="28834" name="Group 28834"/>
                <wp:cNvGraphicFramePr/>
                <a:graphic xmlns:a="http://schemas.openxmlformats.org/drawingml/2006/main">
                  <a:graphicData uri="http://schemas.microsoft.com/office/word/2010/wordprocessingGroup">
                    <wpg:wgp>
                      <wpg:cNvGrpSpPr/>
                      <wpg:grpSpPr>
                        <a:xfrm>
                          <a:off x="0" y="0"/>
                          <a:ext cx="5753939" cy="6096"/>
                          <a:chOff x="0" y="0"/>
                          <a:chExt cx="5753939" cy="6096"/>
                        </a:xfrm>
                      </wpg:grpSpPr>
                      <wps:wsp>
                        <wps:cNvPr id="36761" name="Shape 36761"/>
                        <wps:cNvSpPr/>
                        <wps:spPr>
                          <a:xfrm>
                            <a:off x="0" y="0"/>
                            <a:ext cx="1917446" cy="9144"/>
                          </a:xfrm>
                          <a:custGeom>
                            <a:avLst/>
                            <a:gdLst/>
                            <a:ahLst/>
                            <a:cxnLst/>
                            <a:rect l="0" t="0" r="0" b="0"/>
                            <a:pathLst>
                              <a:path w="1917446" h="9144">
                                <a:moveTo>
                                  <a:pt x="0" y="0"/>
                                </a:moveTo>
                                <a:lnTo>
                                  <a:pt x="1917446" y="0"/>
                                </a:lnTo>
                                <a:lnTo>
                                  <a:pt x="191744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62" name="Shape 36762"/>
                        <wps:cNvSpPr/>
                        <wps:spPr>
                          <a:xfrm>
                            <a:off x="19175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63" name="Shape 36763"/>
                        <wps:cNvSpPr/>
                        <wps:spPr>
                          <a:xfrm>
                            <a:off x="1923618" y="0"/>
                            <a:ext cx="1912874" cy="9144"/>
                          </a:xfrm>
                          <a:custGeom>
                            <a:avLst/>
                            <a:gdLst/>
                            <a:ahLst/>
                            <a:cxnLst/>
                            <a:rect l="0" t="0" r="0" b="0"/>
                            <a:pathLst>
                              <a:path w="1912874" h="9144">
                                <a:moveTo>
                                  <a:pt x="0" y="0"/>
                                </a:moveTo>
                                <a:lnTo>
                                  <a:pt x="1912874" y="0"/>
                                </a:lnTo>
                                <a:lnTo>
                                  <a:pt x="191287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64" name="Shape 36764"/>
                        <wps:cNvSpPr/>
                        <wps:spPr>
                          <a:xfrm>
                            <a:off x="38364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65" name="Shape 36765"/>
                        <wps:cNvSpPr/>
                        <wps:spPr>
                          <a:xfrm>
                            <a:off x="3842588" y="0"/>
                            <a:ext cx="1911350" cy="9144"/>
                          </a:xfrm>
                          <a:custGeom>
                            <a:avLst/>
                            <a:gdLst/>
                            <a:ahLst/>
                            <a:cxnLst/>
                            <a:rect l="0" t="0" r="0" b="0"/>
                            <a:pathLst>
                              <a:path w="1911350" h="9144">
                                <a:moveTo>
                                  <a:pt x="0" y="0"/>
                                </a:moveTo>
                                <a:lnTo>
                                  <a:pt x="1911350" y="0"/>
                                </a:lnTo>
                                <a:lnTo>
                                  <a:pt x="191135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8834" style="width:453.066pt;height:0.47998pt;mso-position-horizontal-relative:char;mso-position-vertical-relative:line" coordsize="57539,60">
                <v:shape id="Shape 36766" style="position:absolute;width:19174;height:91;left:0;top:0;" coordsize="1917446,9144" path="m0,0l1917446,0l1917446,9144l0,9144l0,0">
                  <v:stroke weight="0pt" endcap="flat" joinstyle="miter" miterlimit="10" on="false" color="#000000" opacity="0"/>
                  <v:fill on="true" color="#7f7f7f"/>
                </v:shape>
                <v:shape id="Shape 36767" style="position:absolute;width:91;height:91;left:19175;top:0;" coordsize="9144,9144" path="m0,0l9144,0l9144,9144l0,9144l0,0">
                  <v:stroke weight="0pt" endcap="flat" joinstyle="miter" miterlimit="10" on="false" color="#000000" opacity="0"/>
                  <v:fill on="true" color="#7f7f7f"/>
                </v:shape>
                <v:shape id="Shape 36768" style="position:absolute;width:19128;height:91;left:19236;top:0;" coordsize="1912874,9144" path="m0,0l1912874,0l1912874,9144l0,9144l0,0">
                  <v:stroke weight="0pt" endcap="flat" joinstyle="miter" miterlimit="10" on="false" color="#000000" opacity="0"/>
                  <v:fill on="true" color="#7f7f7f"/>
                </v:shape>
                <v:shape id="Shape 36769" style="position:absolute;width:91;height:91;left:38364;top:0;" coordsize="9144,9144" path="m0,0l9144,0l9144,9144l0,9144l0,0">
                  <v:stroke weight="0pt" endcap="flat" joinstyle="miter" miterlimit="10" on="false" color="#000000" opacity="0"/>
                  <v:fill on="true" color="#7f7f7f"/>
                </v:shape>
                <v:shape id="Shape 36770" style="position:absolute;width:19113;height:91;left:38425;top:0;" coordsize="1911350,9144" path="m0,0l1911350,0l1911350,9144l0,9144l0,0">
                  <v:stroke weight="0pt" endcap="flat" joinstyle="miter" miterlimit="10" on="false" color="#000000" opacity="0"/>
                  <v:fill on="true" color="#7f7f7f"/>
                </v:shape>
              </v:group>
            </w:pict>
          </mc:Fallback>
        </mc:AlternateContent>
      </w:r>
    </w:p>
    <w:p w:rsidR="005579F7" w:rsidRDefault="00622165">
      <w:pPr>
        <w:spacing w:line="259" w:lineRule="auto"/>
        <w:ind w:left="6157" w:right="0"/>
      </w:pPr>
      <w:r>
        <w:t xml:space="preserve">a </w:t>
      </w:r>
      <w:r>
        <w:tab/>
        <w:t xml:space="preserve">necessidade </w:t>
      </w:r>
      <w:r>
        <w:tab/>
        <w:t xml:space="preserve">de bengala. </w:t>
      </w:r>
    </w:p>
    <w:tbl>
      <w:tblPr>
        <w:tblStyle w:val="TableGrid"/>
        <w:tblW w:w="8977" w:type="dxa"/>
        <w:tblInd w:w="108" w:type="dxa"/>
        <w:tblCellMar>
          <w:top w:w="0" w:type="dxa"/>
          <w:left w:w="0" w:type="dxa"/>
          <w:bottom w:w="0" w:type="dxa"/>
          <w:right w:w="0" w:type="dxa"/>
        </w:tblCellMar>
        <w:tblLook w:val="04A0" w:firstRow="1" w:lastRow="0" w:firstColumn="1" w:lastColumn="0" w:noHBand="0" w:noVBand="1"/>
      </w:tblPr>
      <w:tblGrid>
        <w:gridCol w:w="1859"/>
        <w:gridCol w:w="7118"/>
      </w:tblGrid>
      <w:tr w:rsidR="005579F7">
        <w:trPr>
          <w:trHeight w:val="2410"/>
        </w:trPr>
        <w:tc>
          <w:tcPr>
            <w:tcW w:w="1859" w:type="dxa"/>
            <w:tcBorders>
              <w:top w:val="nil"/>
              <w:left w:val="nil"/>
              <w:bottom w:val="nil"/>
              <w:right w:val="nil"/>
            </w:tcBorders>
          </w:tcPr>
          <w:p w:rsidR="005579F7" w:rsidRDefault="00622165">
            <w:pPr>
              <w:tabs>
                <w:tab w:val="center" w:pos="1363"/>
              </w:tabs>
              <w:spacing w:after="123" w:line="259" w:lineRule="auto"/>
              <w:ind w:left="0" w:right="0" w:firstLine="0"/>
              <w:jc w:val="left"/>
            </w:pPr>
            <w:r>
              <w:rPr>
                <w:b/>
              </w:rPr>
              <w:lastRenderedPageBreak/>
              <w:t xml:space="preserve">Estágio </w:t>
            </w:r>
            <w:r>
              <w:rPr>
                <w:b/>
              </w:rPr>
              <w:tab/>
              <w:t xml:space="preserve">II </w:t>
            </w:r>
          </w:p>
          <w:p w:rsidR="005579F7" w:rsidRDefault="00622165">
            <w:pPr>
              <w:spacing w:after="0" w:line="259" w:lineRule="auto"/>
              <w:ind w:left="0" w:right="0" w:firstLine="0"/>
              <w:jc w:val="left"/>
            </w:pPr>
            <w:r>
              <w:rPr>
                <w:b/>
              </w:rPr>
              <w:t xml:space="preserve">Intermediário) </w:t>
            </w:r>
          </w:p>
        </w:tc>
        <w:tc>
          <w:tcPr>
            <w:tcW w:w="7118" w:type="dxa"/>
            <w:tcBorders>
              <w:top w:val="nil"/>
              <w:left w:val="nil"/>
              <w:bottom w:val="nil"/>
              <w:right w:val="nil"/>
            </w:tcBorders>
          </w:tcPr>
          <w:p w:rsidR="005579F7" w:rsidRDefault="00622165">
            <w:pPr>
              <w:spacing w:after="0" w:line="360" w:lineRule="auto"/>
              <w:ind w:left="1161" w:right="132" w:hanging="1161"/>
            </w:pPr>
            <w:r>
              <w:rPr>
                <w:b/>
              </w:rPr>
              <w:t xml:space="preserve">(Estágio </w:t>
            </w:r>
            <w:r>
              <w:t xml:space="preserve">Moderado, deterioração </w:t>
            </w:r>
            <w:proofErr w:type="spellStart"/>
            <w:r>
              <w:t>IIIa</w:t>
            </w:r>
            <w:proofErr w:type="spellEnd"/>
            <w:r>
              <w:t xml:space="preserve">. Necessário uma neuropática adicional, bengala ou muleta para ambulatorial, mas requer deambulação. </w:t>
            </w:r>
            <w:proofErr w:type="spellStart"/>
            <w:r>
              <w:t>IIIb</w:t>
            </w:r>
            <w:proofErr w:type="spellEnd"/>
            <w:r>
              <w:t xml:space="preserve">. </w:t>
            </w:r>
          </w:p>
          <w:p w:rsidR="005579F7" w:rsidRDefault="00622165">
            <w:pPr>
              <w:spacing w:after="0" w:line="259" w:lineRule="auto"/>
              <w:ind w:left="4181" w:right="0" w:hanging="3020"/>
              <w:jc w:val="left"/>
            </w:pPr>
            <w:r>
              <w:t xml:space="preserve">assistência. </w:t>
            </w:r>
            <w:r>
              <w:tab/>
            </w:r>
            <w:r>
              <w:t xml:space="preserve">Necessário duas bengalas ou duas muletas para deambulação. </w:t>
            </w:r>
          </w:p>
        </w:tc>
      </w:tr>
      <w:tr w:rsidR="005579F7">
        <w:trPr>
          <w:trHeight w:val="1170"/>
        </w:trPr>
        <w:tc>
          <w:tcPr>
            <w:tcW w:w="1859" w:type="dxa"/>
            <w:tcBorders>
              <w:top w:val="nil"/>
              <w:left w:val="nil"/>
              <w:bottom w:val="nil"/>
              <w:right w:val="nil"/>
            </w:tcBorders>
          </w:tcPr>
          <w:p w:rsidR="005579F7" w:rsidRDefault="00622165">
            <w:pPr>
              <w:tabs>
                <w:tab w:val="center" w:pos="1363"/>
              </w:tabs>
              <w:spacing w:after="123" w:line="259" w:lineRule="auto"/>
              <w:ind w:left="0" w:right="0" w:firstLine="0"/>
              <w:jc w:val="left"/>
            </w:pPr>
            <w:r>
              <w:rPr>
                <w:b/>
              </w:rPr>
              <w:t xml:space="preserve">Estágio </w:t>
            </w:r>
            <w:r>
              <w:rPr>
                <w:b/>
              </w:rPr>
              <w:tab/>
              <w:t xml:space="preserve">III </w:t>
            </w:r>
          </w:p>
          <w:p w:rsidR="005579F7" w:rsidRDefault="00622165">
            <w:pPr>
              <w:spacing w:after="0" w:line="259" w:lineRule="auto"/>
              <w:ind w:left="0" w:right="0" w:firstLine="0"/>
              <w:jc w:val="left"/>
            </w:pPr>
            <w:r>
              <w:rPr>
                <w:b/>
              </w:rPr>
              <w:t xml:space="preserve">Avançado) </w:t>
            </w:r>
          </w:p>
        </w:tc>
        <w:tc>
          <w:tcPr>
            <w:tcW w:w="7118" w:type="dxa"/>
            <w:tcBorders>
              <w:top w:val="nil"/>
              <w:left w:val="nil"/>
              <w:bottom w:val="nil"/>
              <w:right w:val="nil"/>
            </w:tcBorders>
          </w:tcPr>
          <w:p w:rsidR="005579F7" w:rsidRDefault="00622165">
            <w:pPr>
              <w:spacing w:after="0" w:line="259" w:lineRule="auto"/>
              <w:ind w:left="1161" w:right="132" w:hanging="1161"/>
            </w:pPr>
            <w:r>
              <w:rPr>
                <w:b/>
              </w:rPr>
              <w:t xml:space="preserve">(Estágio </w:t>
            </w:r>
            <w:r>
              <w:t xml:space="preserve">Grave, acamado/cadeira IV. Paciente confiado à de rodas, com fraqueza cadeira de rodas ou cama.  generalizada. </w:t>
            </w:r>
          </w:p>
        </w:tc>
      </w:tr>
    </w:tbl>
    <w:p w:rsidR="005579F7" w:rsidRDefault="00622165">
      <w:pPr>
        <w:spacing w:after="8" w:line="259" w:lineRule="auto"/>
        <w:ind w:left="-14" w:right="0" w:firstLine="0"/>
        <w:jc w:val="left"/>
      </w:pPr>
      <w:r>
        <w:rPr>
          <w:rFonts w:ascii="Calibri" w:eastAsia="Calibri" w:hAnsi="Calibri" w:cs="Calibri"/>
          <w:noProof/>
          <w:sz w:val="22"/>
        </w:rPr>
        <mc:AlternateContent>
          <mc:Choice Requires="wpg">
            <w:drawing>
              <wp:inline distT="0" distB="0" distL="0" distR="0">
                <wp:extent cx="5763083" cy="6096"/>
                <wp:effectExtent l="0" t="0" r="0" b="0"/>
                <wp:docPr id="28835" name="Group 28835"/>
                <wp:cNvGraphicFramePr/>
                <a:graphic xmlns:a="http://schemas.openxmlformats.org/drawingml/2006/main">
                  <a:graphicData uri="http://schemas.microsoft.com/office/word/2010/wordprocessingGroup">
                    <wpg:wgp>
                      <wpg:cNvGrpSpPr/>
                      <wpg:grpSpPr>
                        <a:xfrm>
                          <a:off x="0" y="0"/>
                          <a:ext cx="5763083" cy="6096"/>
                          <a:chOff x="0" y="0"/>
                          <a:chExt cx="5763083" cy="6096"/>
                        </a:xfrm>
                      </wpg:grpSpPr>
                      <wps:wsp>
                        <wps:cNvPr id="36771" name="Shape 36771"/>
                        <wps:cNvSpPr/>
                        <wps:spPr>
                          <a:xfrm>
                            <a:off x="0" y="0"/>
                            <a:ext cx="1926590" cy="9144"/>
                          </a:xfrm>
                          <a:custGeom>
                            <a:avLst/>
                            <a:gdLst/>
                            <a:ahLst/>
                            <a:cxnLst/>
                            <a:rect l="0" t="0" r="0" b="0"/>
                            <a:pathLst>
                              <a:path w="1926590" h="9144">
                                <a:moveTo>
                                  <a:pt x="0" y="0"/>
                                </a:moveTo>
                                <a:lnTo>
                                  <a:pt x="1926590" y="0"/>
                                </a:lnTo>
                                <a:lnTo>
                                  <a:pt x="192659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72" name="Shape 36772"/>
                        <wps:cNvSpPr/>
                        <wps:spPr>
                          <a:xfrm>
                            <a:off x="19175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73" name="Shape 36773"/>
                        <wps:cNvSpPr/>
                        <wps:spPr>
                          <a:xfrm>
                            <a:off x="1923618"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74" name="Shape 36774"/>
                        <wps:cNvSpPr/>
                        <wps:spPr>
                          <a:xfrm>
                            <a:off x="38364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75" name="Shape 36775"/>
                        <wps:cNvSpPr/>
                        <wps:spPr>
                          <a:xfrm>
                            <a:off x="3842588" y="0"/>
                            <a:ext cx="1920494" cy="9144"/>
                          </a:xfrm>
                          <a:custGeom>
                            <a:avLst/>
                            <a:gdLst/>
                            <a:ahLst/>
                            <a:cxnLst/>
                            <a:rect l="0" t="0" r="0" b="0"/>
                            <a:pathLst>
                              <a:path w="1920494" h="9144">
                                <a:moveTo>
                                  <a:pt x="0" y="0"/>
                                </a:moveTo>
                                <a:lnTo>
                                  <a:pt x="1920494" y="0"/>
                                </a:lnTo>
                                <a:lnTo>
                                  <a:pt x="192049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28835" style="width:453.786pt;height:0.47998pt;mso-position-horizontal-relative:char;mso-position-vertical-relative:line" coordsize="57630,60">
                <v:shape id="Shape 36776" style="position:absolute;width:19265;height:91;left:0;top:0;" coordsize="1926590,9144" path="m0,0l1926590,0l1926590,9144l0,9144l0,0">
                  <v:stroke weight="0pt" endcap="flat" joinstyle="miter" miterlimit="10" on="false" color="#000000" opacity="0"/>
                  <v:fill on="true" color="#7f7f7f"/>
                </v:shape>
                <v:shape id="Shape 36777" style="position:absolute;width:91;height:91;left:19175;top:0;" coordsize="9144,9144" path="m0,0l9144,0l9144,9144l0,9144l0,0">
                  <v:stroke weight="0pt" endcap="flat" joinstyle="miter" miterlimit="10" on="false" color="#000000" opacity="0"/>
                  <v:fill on="true" color="#7f7f7f"/>
                </v:shape>
                <v:shape id="Shape 36778" style="position:absolute;width:19220;height:91;left:19236;top:0;" coordsize="1922018,9144" path="m0,0l1922018,0l1922018,9144l0,9144l0,0">
                  <v:stroke weight="0pt" endcap="flat" joinstyle="miter" miterlimit="10" on="false" color="#000000" opacity="0"/>
                  <v:fill on="true" color="#7f7f7f"/>
                </v:shape>
                <v:shape id="Shape 36779" style="position:absolute;width:91;height:91;left:38364;top:0;" coordsize="9144,9144" path="m0,0l9144,0l9144,9144l0,9144l0,0">
                  <v:stroke weight="0pt" endcap="flat" joinstyle="miter" miterlimit="10" on="false" color="#000000" opacity="0"/>
                  <v:fill on="true" color="#7f7f7f"/>
                </v:shape>
                <v:shape id="Shape 36780" style="position:absolute;width:19204;height:91;left:38425;top:0;" coordsize="1920494,9144" path="m0,0l1920494,0l1920494,9144l0,9144l0,0">
                  <v:stroke weight="0pt" endcap="flat" joinstyle="miter" miterlimit="10" on="false" color="#000000" opacity="0"/>
                  <v:fill on="true" color="#7f7f7f"/>
                </v:shape>
              </v:group>
            </w:pict>
          </mc:Fallback>
        </mc:AlternateContent>
      </w:r>
    </w:p>
    <w:p w:rsidR="005579F7" w:rsidRDefault="00622165">
      <w:pPr>
        <w:spacing w:after="42"/>
        <w:ind w:left="2" w:right="0"/>
      </w:pPr>
      <w:r>
        <w:t xml:space="preserve">Quadro 1. - </w:t>
      </w:r>
      <w:r>
        <w:t>Estágio da doença de acordo com a gravidade dos sintomas. Adaptado de Adams, 2016</w:t>
      </w:r>
      <w:r>
        <w:rPr>
          <w:vertAlign w:val="superscript"/>
        </w:rPr>
        <w:t>19</w:t>
      </w:r>
      <w:r>
        <w:t xml:space="preserve"> </w:t>
      </w:r>
    </w:p>
    <w:p w:rsidR="005579F7" w:rsidRDefault="00622165">
      <w:pPr>
        <w:spacing w:after="117" w:line="259" w:lineRule="auto"/>
        <w:ind w:left="2" w:right="0"/>
      </w:pPr>
      <w:r>
        <w:t xml:space="preserve">PND: </w:t>
      </w:r>
      <w:proofErr w:type="spellStart"/>
      <w:r>
        <w:t>polyneuropathy</w:t>
      </w:r>
      <w:proofErr w:type="spellEnd"/>
      <w:r>
        <w:t xml:space="preserve"> </w:t>
      </w:r>
      <w:proofErr w:type="spellStart"/>
      <w:r>
        <w:t>disability</w:t>
      </w:r>
      <w:proofErr w:type="spellEnd"/>
      <w:r>
        <w:t xml:space="preserve"> score. </w:t>
      </w:r>
    </w:p>
    <w:p w:rsidR="005579F7" w:rsidRDefault="00622165">
      <w:pPr>
        <w:spacing w:after="355" w:line="259" w:lineRule="auto"/>
        <w:ind w:left="0" w:right="0" w:firstLine="0"/>
        <w:jc w:val="left"/>
      </w:pPr>
      <w:r>
        <w:t xml:space="preserve"> </w:t>
      </w:r>
    </w:p>
    <w:p w:rsidR="005579F7" w:rsidRDefault="00622165">
      <w:pPr>
        <w:pStyle w:val="Ttulo2"/>
        <w:ind w:left="-5" w:right="485"/>
      </w:pPr>
      <w:bookmarkStart w:id="6" w:name="_Toc36426"/>
      <w:proofErr w:type="gramStart"/>
      <w:r>
        <w:t>3.3  Diagnóstico</w:t>
      </w:r>
      <w:proofErr w:type="gramEnd"/>
      <w:r>
        <w:t xml:space="preserve"> e tratamento </w:t>
      </w:r>
      <w:bookmarkEnd w:id="6"/>
    </w:p>
    <w:p w:rsidR="005579F7" w:rsidRDefault="00622165">
      <w:pPr>
        <w:spacing w:after="115" w:line="259" w:lineRule="auto"/>
        <w:ind w:left="0" w:right="0" w:firstLine="0"/>
        <w:jc w:val="left"/>
      </w:pPr>
      <w:r>
        <w:t xml:space="preserve"> </w:t>
      </w:r>
    </w:p>
    <w:p w:rsidR="005579F7" w:rsidRDefault="00622165">
      <w:pPr>
        <w:spacing w:after="33"/>
        <w:ind w:left="2" w:right="0"/>
      </w:pPr>
      <w:r>
        <w:t xml:space="preserve">O diagnóstico da </w:t>
      </w:r>
      <w:proofErr w:type="spellStart"/>
      <w:r>
        <w:t>Amiloidose</w:t>
      </w:r>
      <w:proofErr w:type="spellEnd"/>
      <w:r>
        <w:t xml:space="preserve"> Hereditária se baseia em um teste genético positivo e na detecção de depósitos amiloides em amostras de tecido, comumente encontrados na glândula salivar, gordura abdominal, reto, coração ou em um nervo periférico. A sensibilida</w:t>
      </w:r>
      <w:r>
        <w:t>de diagnóstica da biópsia varia significativamente de acordo com o tecido examinado e o estágio da doença. No entanto, a combinação de características patológicas e testes para o gene TTR desempenha um papel fundamental na confirmação do diagnóstico.</w:t>
      </w:r>
      <w:r>
        <w:rPr>
          <w:vertAlign w:val="superscript"/>
        </w:rPr>
        <w:t>20</w:t>
      </w:r>
      <w:r>
        <w:t xml:space="preserve"> Apó</w:t>
      </w:r>
      <w:r>
        <w:t>s o diagnóstico, é essencial determinar o estágio da neuropatia e a extensão sistêmica da doença para orientar o curso do tratamento.</w:t>
      </w:r>
      <w:r>
        <w:rPr>
          <w:vertAlign w:val="superscript"/>
        </w:rPr>
        <w:t>19</w:t>
      </w:r>
      <w:r>
        <w:t xml:space="preserve"> </w:t>
      </w:r>
    </w:p>
    <w:p w:rsidR="005579F7" w:rsidRDefault="00622165">
      <w:pPr>
        <w:spacing w:after="117" w:line="259" w:lineRule="auto"/>
        <w:ind w:left="0" w:right="0" w:firstLine="0"/>
        <w:jc w:val="left"/>
      </w:pPr>
      <w:r>
        <w:t xml:space="preserve"> </w:t>
      </w:r>
    </w:p>
    <w:p w:rsidR="005579F7" w:rsidRDefault="00622165">
      <w:pPr>
        <w:spacing w:after="44"/>
        <w:ind w:left="2" w:right="0"/>
      </w:pPr>
      <w:r>
        <w:t xml:space="preserve">O tratamento da </w:t>
      </w:r>
      <w:proofErr w:type="spellStart"/>
      <w:r>
        <w:t>ATTRv</w:t>
      </w:r>
      <w:proofErr w:type="spellEnd"/>
      <w:r>
        <w:t xml:space="preserve"> é abordado de maneira multidisciplinar, envolvendo diversas especialidades médicas, como neurol</w:t>
      </w:r>
      <w:r>
        <w:t>ogia, cardiologia, oftalmologia e nefrologia, além de profissionais de saúde de outras áreas, como fisioterapia motora, psicoterapia e enfermagem. As opções terapêuticas variam de acordo com o estágio da doença e incluem o transplante de fígado, medicament</w:t>
      </w:r>
      <w:r>
        <w:t>os estabilizadores da TTR e terapias silenciadoras da TTR. Embora o transplante de fígado tenha sido utilizado no passado como uma alternativa terapêutica, atualmente está em desuso devido às novas abordagens disponíveis.</w:t>
      </w:r>
      <w:r>
        <w:rPr>
          <w:vertAlign w:val="superscript"/>
        </w:rPr>
        <w:t>9</w:t>
      </w:r>
      <w:r>
        <w:t xml:space="preserve">  </w:t>
      </w:r>
    </w:p>
    <w:p w:rsidR="005579F7" w:rsidRDefault="00622165">
      <w:pPr>
        <w:spacing w:after="115" w:line="259" w:lineRule="auto"/>
        <w:ind w:left="0" w:right="0" w:firstLine="0"/>
        <w:jc w:val="left"/>
      </w:pPr>
      <w:r>
        <w:t xml:space="preserve"> </w:t>
      </w:r>
    </w:p>
    <w:p w:rsidR="005579F7" w:rsidRDefault="00622165">
      <w:pPr>
        <w:spacing w:after="54"/>
        <w:ind w:left="2" w:right="0"/>
      </w:pPr>
      <w:r>
        <w:lastRenderedPageBreak/>
        <w:t>No Brasil, o Sistema Único de</w:t>
      </w:r>
      <w:r>
        <w:t xml:space="preserve"> Saúde (SUS) oferece o </w:t>
      </w:r>
      <w:proofErr w:type="spellStart"/>
      <w:r>
        <w:t>Tafamidis</w:t>
      </w:r>
      <w:proofErr w:type="spellEnd"/>
      <w:r>
        <w:t xml:space="preserve">, um potente estabilizador seletivo de TTR, que foi o primeiro medicamento a demonstrar eficácia na redução da progressão da doença e foi aprovado por agências de saúde europeias e latino-americanas para o tratamento da </w:t>
      </w:r>
      <w:proofErr w:type="spellStart"/>
      <w:r>
        <w:t>Amil</w:t>
      </w:r>
      <w:r>
        <w:t>oidose</w:t>
      </w:r>
      <w:proofErr w:type="spellEnd"/>
      <w:r>
        <w:t xml:space="preserve"> Hereditária</w:t>
      </w:r>
      <w:r>
        <w:rPr>
          <w:vertAlign w:val="superscript"/>
        </w:rPr>
        <w:t>21-22</w:t>
      </w:r>
      <w:r>
        <w:t xml:space="preserve">. Além disso, a Anvisa aprovou no Brasil o uso de </w:t>
      </w:r>
      <w:proofErr w:type="spellStart"/>
      <w:r>
        <w:t>Inotersena</w:t>
      </w:r>
      <w:proofErr w:type="spellEnd"/>
      <w:r>
        <w:t xml:space="preserve"> e </w:t>
      </w:r>
      <w:proofErr w:type="spellStart"/>
      <w:r>
        <w:t>Patisiran</w:t>
      </w:r>
      <w:proofErr w:type="spellEnd"/>
      <w:r>
        <w:t xml:space="preserve">, drogas silenciadoras da TTR, embora essas ainda não estejam disponíveis no SUS. É importante ressaltar que esses tratamentos não resultam na cura da condição, </w:t>
      </w:r>
      <w:r>
        <w:t>mas sim na desaceleração de sua progressão.</w:t>
      </w:r>
      <w:r>
        <w:rPr>
          <w:vertAlign w:val="superscript"/>
        </w:rPr>
        <w:t xml:space="preserve"> 1823</w:t>
      </w:r>
      <w:r>
        <w:t xml:space="preserve"> </w:t>
      </w:r>
    </w:p>
    <w:p w:rsidR="005579F7" w:rsidRDefault="00622165">
      <w:pPr>
        <w:spacing w:after="117" w:line="259" w:lineRule="auto"/>
        <w:ind w:left="0" w:right="0" w:firstLine="0"/>
        <w:jc w:val="left"/>
      </w:pPr>
      <w:r>
        <w:t xml:space="preserve"> </w:t>
      </w:r>
    </w:p>
    <w:p w:rsidR="005579F7" w:rsidRDefault="00622165">
      <w:pPr>
        <w:spacing w:after="29"/>
        <w:ind w:left="2" w:right="0"/>
      </w:pPr>
      <w:r>
        <w:t xml:space="preserve">O aconselhamento genético é indicado para todos os familiares de primeiro grau, com 18 anos ou mais, de pacientes com diagnóstico genético de </w:t>
      </w:r>
      <w:proofErr w:type="spellStart"/>
      <w:r>
        <w:t>ATTRv</w:t>
      </w:r>
      <w:proofErr w:type="spellEnd"/>
      <w:r>
        <w:t>, uma vez que se trata de uma doença de caráter hereditár</w:t>
      </w:r>
      <w:r>
        <w:t>io.</w:t>
      </w:r>
      <w:r>
        <w:rPr>
          <w:vertAlign w:val="superscript"/>
        </w:rPr>
        <w:t>18</w:t>
      </w:r>
      <w:r>
        <w:t xml:space="preserve"> </w:t>
      </w:r>
    </w:p>
    <w:p w:rsidR="005579F7" w:rsidRDefault="00622165">
      <w:pPr>
        <w:spacing w:after="357" w:line="259" w:lineRule="auto"/>
        <w:ind w:left="0" w:right="0" w:firstLine="0"/>
        <w:jc w:val="left"/>
      </w:pPr>
      <w:r>
        <w:t xml:space="preserve"> </w:t>
      </w:r>
    </w:p>
    <w:p w:rsidR="005579F7" w:rsidRDefault="00622165">
      <w:pPr>
        <w:pStyle w:val="Ttulo4"/>
        <w:ind w:left="-5" w:right="485"/>
      </w:pPr>
      <w:proofErr w:type="gramStart"/>
      <w:r>
        <w:t>3.4  Avaliação</w:t>
      </w:r>
      <w:proofErr w:type="gramEnd"/>
      <w:r>
        <w:t xml:space="preserve"> clínica da Ceratoconjuntivite seca </w:t>
      </w:r>
    </w:p>
    <w:p w:rsidR="005579F7" w:rsidRDefault="00622165">
      <w:pPr>
        <w:spacing w:after="115" w:line="259" w:lineRule="auto"/>
        <w:ind w:left="0" w:right="0" w:firstLine="0"/>
        <w:jc w:val="left"/>
      </w:pPr>
      <w:r>
        <w:rPr>
          <w:rFonts w:ascii="Times New Roman" w:eastAsia="Times New Roman" w:hAnsi="Times New Roman" w:cs="Times New Roman"/>
        </w:rPr>
        <w:t xml:space="preserve"> </w:t>
      </w:r>
    </w:p>
    <w:p w:rsidR="005579F7" w:rsidRDefault="00622165">
      <w:pPr>
        <w:spacing w:after="39"/>
        <w:ind w:left="2" w:right="0"/>
      </w:pPr>
      <w:r>
        <w:t>A ceratoconjuntivite seca, também conhecida como olho seco, é uma condição oftalmológica multifatorial caracterizada pela desregulação do filme lacrimal e associada a sintomas oculares. Esta des</w:t>
      </w:r>
      <w:r>
        <w:t xml:space="preserve">regulação envolve a </w:t>
      </w:r>
      <w:proofErr w:type="spellStart"/>
      <w:r>
        <w:t>hiperosmolaridade</w:t>
      </w:r>
      <w:proofErr w:type="spellEnd"/>
      <w:r>
        <w:t>, inflamação, dano na superfície ocular e anormalidades neurossensoriais, todos desempenhando papéis etiológicos.</w:t>
      </w:r>
      <w:r>
        <w:rPr>
          <w:vertAlign w:val="superscript"/>
        </w:rPr>
        <w:t>24</w:t>
      </w:r>
      <w:r>
        <w:t xml:space="preserve"> </w:t>
      </w:r>
    </w:p>
    <w:p w:rsidR="005579F7" w:rsidRDefault="00622165">
      <w:pPr>
        <w:spacing w:after="115" w:line="259" w:lineRule="auto"/>
        <w:ind w:left="0" w:right="0" w:firstLine="0"/>
        <w:jc w:val="left"/>
      </w:pPr>
      <w:r>
        <w:t xml:space="preserve"> </w:t>
      </w:r>
    </w:p>
    <w:p w:rsidR="005579F7" w:rsidRDefault="00622165">
      <w:pPr>
        <w:ind w:left="2" w:right="0"/>
      </w:pPr>
      <w:r>
        <w:t xml:space="preserve">Na ceratoconjuntivite seca, a </w:t>
      </w:r>
      <w:proofErr w:type="spellStart"/>
      <w:r>
        <w:t>hiperosmolaridade</w:t>
      </w:r>
      <w:proofErr w:type="spellEnd"/>
      <w:r>
        <w:t xml:space="preserve"> do filme lacrimal é considerada o gatilho inicial para uma série de eventos de sinalização nas células epiteliais da superfície ocular. Isso resulta na liberação de mediadores inflamatórios e proteases. Esses</w:t>
      </w:r>
      <w:r>
        <w:t xml:space="preserve"> mediadores, junto com a </w:t>
      </w:r>
      <w:proofErr w:type="spellStart"/>
      <w:r>
        <w:t>hiperosmolaridade</w:t>
      </w:r>
      <w:proofErr w:type="spellEnd"/>
      <w:r>
        <w:t xml:space="preserve"> lacrimal em si, contribuem para a perda de células e danos ao epitélio ocular. A chegada de células T ativadas à superfície ocular amplifica ainda mais esse dano. O resultado é a </w:t>
      </w:r>
      <w:proofErr w:type="spellStart"/>
      <w:r>
        <w:t>epiteliopatia</w:t>
      </w:r>
      <w:proofErr w:type="spellEnd"/>
      <w:r>
        <w:t xml:space="preserve"> puntiforme caracterí</w:t>
      </w:r>
      <w:r>
        <w:t xml:space="preserve">stica e uma instabilidade do filme lacrimal, que, por sua vez, leva a uma quebra prematura do filme, perpetuando o ciclo de </w:t>
      </w:r>
      <w:proofErr w:type="spellStart"/>
      <w:r>
        <w:t>hiperosmolaridade</w:t>
      </w:r>
      <w:proofErr w:type="spellEnd"/>
      <w:r>
        <w:t xml:space="preserve"> e danos na superfície ocular.</w:t>
      </w:r>
      <w:r>
        <w:rPr>
          <w:vertAlign w:val="superscript"/>
        </w:rPr>
        <w:t>25</w:t>
      </w: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2" w:right="0"/>
      </w:pPr>
      <w:r>
        <w:t xml:space="preserve">O diagnóstico da ceratoconjuntivite seca é baseado nas diretrizes do TFOS </w:t>
      </w:r>
      <w:proofErr w:type="spellStart"/>
      <w:r>
        <w:t>Dry</w:t>
      </w:r>
      <w:proofErr w:type="spellEnd"/>
      <w:r>
        <w:t xml:space="preserve"> </w:t>
      </w:r>
      <w:proofErr w:type="spellStart"/>
      <w:r>
        <w:t>Eye</w:t>
      </w:r>
      <w:proofErr w:type="spellEnd"/>
      <w:r>
        <w:t xml:space="preserve"> </w:t>
      </w:r>
    </w:p>
    <w:p w:rsidR="005579F7" w:rsidRDefault="00622165">
      <w:pPr>
        <w:spacing w:after="33"/>
        <w:ind w:left="2" w:right="0"/>
      </w:pPr>
      <w:r>
        <w:lastRenderedPageBreak/>
        <w:t xml:space="preserve">Workshop II </w:t>
      </w:r>
      <w:proofErr w:type="spellStart"/>
      <w:r>
        <w:t>Executive</w:t>
      </w:r>
      <w:proofErr w:type="spellEnd"/>
      <w:r>
        <w:t xml:space="preserve"> </w:t>
      </w:r>
      <w:proofErr w:type="spellStart"/>
      <w:r>
        <w:t>Summary</w:t>
      </w:r>
      <w:proofErr w:type="spellEnd"/>
      <w:r>
        <w:t xml:space="preserve"> (TFOS DEWS II), um consenso elaborado pela Tear </w:t>
      </w:r>
      <w:proofErr w:type="spellStart"/>
      <w:r>
        <w:t>Film</w:t>
      </w:r>
      <w:proofErr w:type="spellEnd"/>
      <w:r>
        <w:t xml:space="preserve"> &amp; Ocular Surface Society (TFOS) que visa padronizar o diagnóstico e manejo dessa condição </w:t>
      </w:r>
      <w:r>
        <w:t xml:space="preserve">multifatorial. O diagnóstico é realizado por meio de uma avaliação completa, que inclui aspectos clínicos e exames quantitativos, como o Teste de </w:t>
      </w:r>
      <w:proofErr w:type="spellStart"/>
      <w:r>
        <w:t>Schirmer</w:t>
      </w:r>
      <w:proofErr w:type="spellEnd"/>
      <w:r>
        <w:t xml:space="preserve"> II, o Tempo de Ruptura do Filme Lacrimal (TRFL) e o Tingimento da Superfície Ocular (TSO).</w:t>
      </w:r>
      <w:r>
        <w:rPr>
          <w:vertAlign w:val="superscript"/>
        </w:rPr>
        <w:t>24</w:t>
      </w:r>
      <w:r>
        <w:t xml:space="preserve">.  </w:t>
      </w:r>
    </w:p>
    <w:p w:rsidR="005579F7" w:rsidRDefault="00622165">
      <w:pPr>
        <w:spacing w:after="115" w:line="259" w:lineRule="auto"/>
        <w:ind w:left="0" w:right="0" w:firstLine="0"/>
        <w:jc w:val="left"/>
      </w:pPr>
      <w:r>
        <w:t xml:space="preserve"> </w:t>
      </w:r>
    </w:p>
    <w:p w:rsidR="005579F7" w:rsidRDefault="00622165">
      <w:pPr>
        <w:spacing w:after="31" w:line="357" w:lineRule="auto"/>
        <w:ind w:left="-15" w:right="0" w:firstLine="0"/>
        <w:jc w:val="left"/>
      </w:pPr>
      <w:r>
        <w:t>O Í</w:t>
      </w:r>
      <w:r>
        <w:t>ndice de Doença de Superfície Ocular é um questionário validado e traduzido que avalia a perspectiva do paciente sobre o olho seco, quantificando a sintomatologia e seu impacto na vida diária. Esse questionário desempenha um papel importante na exclusão de</w:t>
      </w:r>
      <w:r>
        <w:t xml:space="preserve"> condições que podem imitar a ceratoconjuntivite seca e permite a medição objetiva dos sintomas, facilitando comparações entre diferentes pesquisadores e ao longo do tempo na mesma paciente.</w:t>
      </w:r>
      <w:r>
        <w:rPr>
          <w:vertAlign w:val="superscript"/>
        </w:rPr>
        <w:t>26</w:t>
      </w:r>
      <w:r>
        <w:t xml:space="preserve"> </w:t>
      </w:r>
    </w:p>
    <w:p w:rsidR="005579F7" w:rsidRDefault="00622165">
      <w:pPr>
        <w:spacing w:after="117" w:line="259" w:lineRule="auto"/>
        <w:ind w:left="0" w:right="0" w:firstLine="0"/>
        <w:jc w:val="left"/>
      </w:pPr>
      <w:r>
        <w:t xml:space="preserve"> </w:t>
      </w:r>
    </w:p>
    <w:p w:rsidR="005579F7" w:rsidRDefault="00622165">
      <w:pPr>
        <w:spacing w:after="51"/>
        <w:ind w:left="2" w:right="0"/>
      </w:pPr>
      <w:r>
        <w:t xml:space="preserve">O Teste de </w:t>
      </w:r>
      <w:proofErr w:type="spellStart"/>
      <w:r>
        <w:t>Schirmer</w:t>
      </w:r>
      <w:proofErr w:type="spellEnd"/>
      <w:r>
        <w:t xml:space="preserve"> proporciona uma estimativa do fluxo lacr</w:t>
      </w:r>
      <w:r>
        <w:t xml:space="preserve">imal reflexo. Após a aplicação de um colírio anestésico, uma tira de papel de </w:t>
      </w:r>
      <w:proofErr w:type="spellStart"/>
      <w:r>
        <w:t>Schirmer</w:t>
      </w:r>
      <w:proofErr w:type="spellEnd"/>
      <w:r>
        <w:t xml:space="preserve"> é colocada no olho e a extremidade dobrada é posicionada sobre o terço temporal da margem inferior da pálpebra.</w:t>
      </w:r>
      <w:r>
        <w:rPr>
          <w:vertAlign w:val="superscript"/>
        </w:rPr>
        <w:t>27</w:t>
      </w:r>
      <w:r>
        <w:t xml:space="preserve"> Esse teste é amplamente utilizado na oftalmologia como </w:t>
      </w:r>
      <w:r>
        <w:t xml:space="preserve">método diagnóstico, com resultados considerados positivos quando a umidade atinge menos de 10 mm em 5 minutos. </w:t>
      </w:r>
      <w:r>
        <w:rPr>
          <w:vertAlign w:val="superscript"/>
        </w:rPr>
        <w:t>24,28</w:t>
      </w:r>
      <w:r>
        <w:t xml:space="preserve">  </w:t>
      </w:r>
    </w:p>
    <w:p w:rsidR="005579F7" w:rsidRDefault="00622165">
      <w:pPr>
        <w:spacing w:after="117" w:line="259" w:lineRule="auto"/>
        <w:ind w:left="0" w:right="0" w:firstLine="0"/>
        <w:jc w:val="left"/>
      </w:pPr>
      <w:r>
        <w:t xml:space="preserve"> </w:t>
      </w:r>
    </w:p>
    <w:p w:rsidR="005579F7" w:rsidRDefault="00622165">
      <w:pPr>
        <w:ind w:left="2" w:right="0"/>
      </w:pPr>
      <w:r>
        <w:t>O Tempo de Ruptura do Filme Lacrimal (TRFL) avalia a estabilidade do filme lacrimal e a presença de olho seco evaporativo. Durante o TR</w:t>
      </w:r>
      <w:r>
        <w:t>FL, o paciente recebe fluoresceína de sódio no olho e o filme lacrimal é observado sob uma lâmpada de fenda, enquanto o paciente tenta evitar piscar até que pequenos pontos secos se formem. Geralmente, um TRFL maior que 10 segundos é considerado normal, de</w:t>
      </w:r>
      <w:r>
        <w:t xml:space="preserve"> 5 a 10 segundos é considerado marginal e menos de 5 segundos é indicativo de um TRFL </w:t>
      </w:r>
    </w:p>
    <w:p w:rsidR="005579F7" w:rsidRDefault="00622165">
      <w:pPr>
        <w:spacing w:after="197" w:line="259" w:lineRule="auto"/>
        <w:ind w:left="2" w:right="0"/>
      </w:pPr>
      <w:r>
        <w:t>baixo.</w:t>
      </w:r>
      <w:r>
        <w:rPr>
          <w:sz w:val="16"/>
        </w:rPr>
        <w:t>29,30</w:t>
      </w:r>
      <w:r>
        <w:t xml:space="preserve"> </w:t>
      </w:r>
    </w:p>
    <w:p w:rsidR="005579F7" w:rsidRDefault="00622165">
      <w:pPr>
        <w:spacing w:after="117" w:line="259" w:lineRule="auto"/>
        <w:ind w:left="0" w:right="0" w:firstLine="0"/>
        <w:jc w:val="left"/>
      </w:pPr>
      <w:r>
        <w:t xml:space="preserve"> </w:t>
      </w:r>
    </w:p>
    <w:p w:rsidR="005579F7" w:rsidRDefault="00622165">
      <w:pPr>
        <w:ind w:left="2" w:right="0"/>
      </w:pPr>
      <w:r>
        <w:t xml:space="preserve">O Tingimento </w:t>
      </w:r>
      <w:proofErr w:type="spellStart"/>
      <w:r>
        <w:t>Corneal</w:t>
      </w:r>
      <w:proofErr w:type="spellEnd"/>
      <w:r>
        <w:t xml:space="preserve"> é um marcador importante da homeostase ocular. É considerado positivo quando ocorrem mais de cinco pontos de coloração na córnea ou n</w:t>
      </w:r>
      <w:r>
        <w:t>ove pontos na conjuntiva, sendo que cada ponto mede 2 mm ou mais.</w:t>
      </w:r>
      <w:r>
        <w:rPr>
          <w:vertAlign w:val="superscript"/>
        </w:rPr>
        <w:t xml:space="preserve">25 </w:t>
      </w:r>
    </w:p>
    <w:p w:rsidR="005579F7" w:rsidRDefault="00622165">
      <w:pPr>
        <w:spacing w:after="355" w:line="259" w:lineRule="auto"/>
        <w:ind w:left="0" w:right="0" w:firstLine="0"/>
        <w:jc w:val="left"/>
      </w:pPr>
      <w:r>
        <w:t xml:space="preserve"> </w:t>
      </w:r>
    </w:p>
    <w:p w:rsidR="005579F7" w:rsidRDefault="00622165">
      <w:pPr>
        <w:pStyle w:val="Ttulo2"/>
        <w:ind w:left="-5" w:right="485"/>
      </w:pPr>
      <w:bookmarkStart w:id="7" w:name="_Toc36427"/>
      <w:proofErr w:type="gramStart"/>
      <w:r>
        <w:lastRenderedPageBreak/>
        <w:t>3.5  Avaliação</w:t>
      </w:r>
      <w:proofErr w:type="gramEnd"/>
      <w:r>
        <w:t xml:space="preserve"> clínica do reflexo pupilar </w:t>
      </w:r>
      <w:bookmarkEnd w:id="7"/>
    </w:p>
    <w:p w:rsidR="005579F7" w:rsidRDefault="00622165">
      <w:pPr>
        <w:spacing w:after="36"/>
        <w:ind w:left="2" w:right="0"/>
      </w:pPr>
      <w:r>
        <w:t xml:space="preserve">O exame pupilar oferece uma oportunidade para detectar distúrbios na inervação autonômica do olho. Para avaliar o reflexo </w:t>
      </w:r>
      <w:proofErr w:type="spellStart"/>
      <w:r>
        <w:t>fotomotor</w:t>
      </w:r>
      <w:proofErr w:type="spellEnd"/>
      <w:r>
        <w:t>, é fundamental realizar o teste em um ambiente com baixa luminosidade, o que resulta em uma ligeira dilatação da pupila, fac</w:t>
      </w:r>
      <w:r>
        <w:t xml:space="preserve">ilitando a observação de qualquer alteração em seu tamanho. Além disso, o paciente deve focalizar um ponto distante para evitar a </w:t>
      </w:r>
      <w:proofErr w:type="spellStart"/>
      <w:r>
        <w:t>miose</w:t>
      </w:r>
      <w:proofErr w:type="spellEnd"/>
      <w:r>
        <w:t xml:space="preserve"> induzida pelo reflexo de acomodação.</w:t>
      </w:r>
      <w:r>
        <w:rPr>
          <w:vertAlign w:val="superscript"/>
        </w:rPr>
        <w:t>31</w:t>
      </w:r>
      <w:r>
        <w:t xml:space="preserve">. </w:t>
      </w:r>
    </w:p>
    <w:p w:rsidR="005579F7" w:rsidRDefault="00622165">
      <w:pPr>
        <w:spacing w:after="115" w:line="259" w:lineRule="auto"/>
        <w:ind w:left="0" w:right="0" w:firstLine="0"/>
        <w:jc w:val="left"/>
      </w:pPr>
      <w:r>
        <w:t xml:space="preserve"> </w:t>
      </w:r>
    </w:p>
    <w:p w:rsidR="005579F7" w:rsidRDefault="00622165">
      <w:pPr>
        <w:spacing w:after="36"/>
        <w:ind w:left="2" w:right="0"/>
      </w:pPr>
      <w:r>
        <w:t xml:space="preserve">Para realizar o teste do reflexo direto, a iluminação do olho deve ser feita </w:t>
      </w:r>
      <w:r>
        <w:t>com uma lanterna posicionada obliquamente em relação ao olho, de forma a minimizar o reflexo de acomodação. Neste procedimento, verifica-se se há ou não contração da pupila, o que ocorrerá sob condições normais.</w:t>
      </w:r>
      <w:r>
        <w:rPr>
          <w:vertAlign w:val="superscript"/>
        </w:rPr>
        <w:t>31</w:t>
      </w:r>
      <w:r>
        <w:t xml:space="preserve"> </w:t>
      </w:r>
    </w:p>
    <w:p w:rsidR="005579F7" w:rsidRDefault="00622165">
      <w:pPr>
        <w:spacing w:after="117" w:line="259" w:lineRule="auto"/>
        <w:ind w:left="0" w:right="0" w:firstLine="0"/>
        <w:jc w:val="left"/>
      </w:pPr>
      <w:r>
        <w:t xml:space="preserve"> </w:t>
      </w:r>
    </w:p>
    <w:p w:rsidR="005579F7" w:rsidRDefault="00622165">
      <w:pPr>
        <w:spacing w:after="41"/>
        <w:ind w:left="2" w:right="0"/>
      </w:pPr>
      <w:r>
        <w:t>Em pacientes com neuropatias autonômica</w:t>
      </w:r>
      <w:r>
        <w:t xml:space="preserve">s generalizadas, a pupila frequentemente apresenta anormalidades. Na </w:t>
      </w:r>
      <w:proofErr w:type="spellStart"/>
      <w:r>
        <w:t>Amiloidose</w:t>
      </w:r>
      <w:proofErr w:type="spellEnd"/>
      <w:r>
        <w:t xml:space="preserve">, essas anormalidades pupilares são observadas comumente, geralmente associadas a outras evidências de disfunção autonômica. As alterações mais comuns incluem a </w:t>
      </w:r>
      <w:proofErr w:type="spellStart"/>
      <w:r>
        <w:t>hiporreatividade</w:t>
      </w:r>
      <w:proofErr w:type="spellEnd"/>
      <w:r>
        <w:t xml:space="preserve"> pupilar, assimetria pupilar, falta de reatividade pupilar ou dissociação entre a resposta à luz e ao estímulo de proximidade.</w:t>
      </w:r>
      <w:r>
        <w:rPr>
          <w:vertAlign w:val="superscript"/>
        </w:rPr>
        <w:t>32</w:t>
      </w:r>
      <w:r>
        <w:t xml:space="preserve"> </w:t>
      </w:r>
    </w:p>
    <w:p w:rsidR="005579F7" w:rsidRDefault="00622165">
      <w:pPr>
        <w:spacing w:after="117" w:line="259" w:lineRule="auto"/>
        <w:ind w:left="0" w:right="0" w:firstLine="0"/>
        <w:jc w:val="left"/>
      </w:pPr>
      <w:r>
        <w:t xml:space="preserve"> </w:t>
      </w:r>
    </w:p>
    <w:p w:rsidR="005579F7" w:rsidRDefault="00622165">
      <w:pPr>
        <w:spacing w:after="35"/>
        <w:ind w:left="2" w:right="0"/>
      </w:pPr>
      <w:r>
        <w:t>Essas anormalidades pupilares são consistentes com um déficit parassimpático, possivelmente relacionado à deposição de amilo</w:t>
      </w:r>
      <w:r>
        <w:t xml:space="preserve">ide no gânglio ciliar. Além disso, em alguns pacientes com </w:t>
      </w:r>
      <w:proofErr w:type="spellStart"/>
      <w:r>
        <w:t>Amiloidose</w:t>
      </w:r>
      <w:proofErr w:type="spellEnd"/>
      <w:r>
        <w:t xml:space="preserve"> e neuropatia autonômica, foi relatado atraso bilateral na dilatação da pupila, o que indica um déficit simpático. Esses achados podem ser explicados pela presença de amiloide na íris.</w:t>
      </w:r>
      <w:r>
        <w:rPr>
          <w:vertAlign w:val="superscript"/>
        </w:rPr>
        <w:t>12</w:t>
      </w:r>
      <w:r>
        <w:t xml:space="preserve"> </w:t>
      </w:r>
    </w:p>
    <w:p w:rsidR="005579F7" w:rsidRDefault="00622165">
      <w:pPr>
        <w:spacing w:after="358" w:line="259" w:lineRule="auto"/>
        <w:ind w:left="0" w:right="0" w:firstLine="0"/>
        <w:jc w:val="left"/>
      </w:pPr>
      <w:r>
        <w:t xml:space="preserve"> </w:t>
      </w:r>
    </w:p>
    <w:p w:rsidR="005579F7" w:rsidRDefault="00622165">
      <w:pPr>
        <w:pStyle w:val="Ttulo4"/>
        <w:ind w:left="-5" w:right="485"/>
      </w:pPr>
      <w:proofErr w:type="gramStart"/>
      <w:r>
        <w:t>3.6  Distribuição</w:t>
      </w:r>
      <w:proofErr w:type="gramEnd"/>
      <w:r>
        <w:t xml:space="preserve"> da </w:t>
      </w:r>
      <w:proofErr w:type="spellStart"/>
      <w:r>
        <w:t>Transtirretina</w:t>
      </w:r>
      <w:proofErr w:type="spellEnd"/>
      <w:r>
        <w:t xml:space="preserve"> nos tecidos oculares </w:t>
      </w:r>
    </w:p>
    <w:p w:rsidR="005579F7" w:rsidRDefault="00622165">
      <w:pPr>
        <w:spacing w:after="117" w:line="259" w:lineRule="auto"/>
        <w:ind w:left="0" w:right="0" w:firstLine="0"/>
        <w:jc w:val="left"/>
      </w:pPr>
      <w:r>
        <w:t xml:space="preserve"> </w:t>
      </w:r>
    </w:p>
    <w:p w:rsidR="005579F7" w:rsidRDefault="00622165">
      <w:pPr>
        <w:spacing w:after="36"/>
        <w:ind w:left="2" w:right="0"/>
      </w:pPr>
      <w:r>
        <w:t xml:space="preserve">A </w:t>
      </w:r>
      <w:proofErr w:type="spellStart"/>
      <w:r>
        <w:t>Transtirretina</w:t>
      </w:r>
      <w:proofErr w:type="spellEnd"/>
      <w:r>
        <w:t xml:space="preserve"> (TTR) é uma proteína tetrâmera que desempenha um papel essencial no transporte de vitamina A, retinol e tiroxina. Sua síntese ocorre predominantemente no fígado, mas também há produção extra-hepática de TTR por células epiteliais pigmentar</w:t>
      </w:r>
      <w:r>
        <w:t xml:space="preserve">es da retina e células epiteliais dos plexos </w:t>
      </w:r>
      <w:proofErr w:type="spellStart"/>
      <w:r>
        <w:t>corióides</w:t>
      </w:r>
      <w:proofErr w:type="spellEnd"/>
      <w:r>
        <w:t xml:space="preserve"> no cérebro. A TTR é naturalmente solúvel em água, no entanto, quando sofre mutações, torna-se insolúvel, </w:t>
      </w:r>
      <w:r>
        <w:lastRenderedPageBreak/>
        <w:t>resultando no acúmulo de amiloide nos tecidos, o que desencadeia lesões sistêmicas e múltiplas c</w:t>
      </w:r>
      <w:r>
        <w:t>omplicações.</w:t>
      </w:r>
      <w:r>
        <w:rPr>
          <w:vertAlign w:val="superscript"/>
        </w:rPr>
        <w:t>33</w:t>
      </w:r>
      <w:r>
        <w:t xml:space="preserve">. </w:t>
      </w:r>
    </w:p>
    <w:p w:rsidR="005579F7" w:rsidRDefault="00622165">
      <w:pPr>
        <w:spacing w:after="117" w:line="259" w:lineRule="auto"/>
        <w:ind w:left="360" w:right="0" w:firstLine="0"/>
        <w:jc w:val="left"/>
      </w:pPr>
      <w:r>
        <w:t xml:space="preserve"> </w:t>
      </w:r>
    </w:p>
    <w:p w:rsidR="005579F7" w:rsidRDefault="00622165">
      <w:pPr>
        <w:spacing w:after="33"/>
        <w:ind w:left="2" w:right="0"/>
      </w:pPr>
      <w:r>
        <w:t xml:space="preserve">A presença da TTR é bem distribuída nos tecidos oculares de pacientes afetados pela </w:t>
      </w:r>
      <w:proofErr w:type="spellStart"/>
      <w:r>
        <w:t>Amiloidose</w:t>
      </w:r>
      <w:proofErr w:type="spellEnd"/>
      <w:r>
        <w:t xml:space="preserve"> Hereditária. Depósitos amiloides foram identificados em diversas regiões, incluindo o endotélio da córnea, a cápsula do cristalino, o epitélio</w:t>
      </w:r>
      <w:r>
        <w:t xml:space="preserve"> da íris, o epitélio pigmentar da retina, o epitélio pigmentar ciliar, o corpo vítreo, a conjuntiva, a malha </w:t>
      </w:r>
      <w:proofErr w:type="spellStart"/>
      <w:r>
        <w:t>trabecular</w:t>
      </w:r>
      <w:proofErr w:type="spellEnd"/>
      <w:r>
        <w:t>, as glândulas lacrimais e as fibras nervosas da retina.</w:t>
      </w:r>
      <w:r>
        <w:rPr>
          <w:vertAlign w:val="superscript"/>
        </w:rPr>
        <w:t>10</w:t>
      </w:r>
      <w:r>
        <w:t xml:space="preserve"> </w:t>
      </w:r>
    </w:p>
    <w:p w:rsidR="005579F7" w:rsidRDefault="00622165">
      <w:pPr>
        <w:spacing w:after="357" w:line="259" w:lineRule="auto"/>
        <w:ind w:left="0" w:right="0" w:firstLine="0"/>
        <w:jc w:val="left"/>
      </w:pPr>
      <w:r>
        <w:rPr>
          <w:rFonts w:ascii="Times New Roman" w:eastAsia="Times New Roman" w:hAnsi="Times New Roman" w:cs="Times New Roman"/>
        </w:rPr>
        <w:t xml:space="preserve"> </w:t>
      </w:r>
    </w:p>
    <w:p w:rsidR="005579F7" w:rsidRDefault="00622165">
      <w:pPr>
        <w:pStyle w:val="Ttulo4"/>
        <w:ind w:left="-5" w:right="485"/>
      </w:pPr>
      <w:proofErr w:type="gramStart"/>
      <w:r>
        <w:t>3.7  Envolvimento</w:t>
      </w:r>
      <w:proofErr w:type="gramEnd"/>
      <w:r>
        <w:t xml:space="preserve"> ocular na </w:t>
      </w:r>
      <w:proofErr w:type="spellStart"/>
      <w:r>
        <w:t>Amiloidose</w:t>
      </w:r>
      <w:proofErr w:type="spellEnd"/>
      <w:r>
        <w:t xml:space="preserve"> </w:t>
      </w:r>
      <w:proofErr w:type="spellStart"/>
      <w:r>
        <w:t>Transtirretina</w:t>
      </w:r>
      <w:proofErr w:type="spellEnd"/>
      <w:r>
        <w:t xml:space="preserve"> </w:t>
      </w:r>
    </w:p>
    <w:p w:rsidR="005579F7" w:rsidRDefault="00622165">
      <w:pPr>
        <w:spacing w:after="117" w:line="259" w:lineRule="auto"/>
        <w:ind w:left="0" w:right="0" w:firstLine="0"/>
        <w:jc w:val="left"/>
      </w:pPr>
      <w:r>
        <w:t xml:space="preserve"> </w:t>
      </w:r>
    </w:p>
    <w:p w:rsidR="005579F7" w:rsidRDefault="00622165">
      <w:pPr>
        <w:spacing w:after="37"/>
        <w:ind w:left="2" w:right="0"/>
      </w:pPr>
      <w:r>
        <w:t xml:space="preserve">Problemas visuais </w:t>
      </w:r>
      <w:r>
        <w:t>surgem devido à deposição de fibrilas amiloides nos tecidos oculares, o que leva à opacificação dos meios dióptricos e resulta em complicações vasculares e neuropáticas locais.</w:t>
      </w:r>
      <w:r>
        <w:rPr>
          <w:vertAlign w:val="superscript"/>
        </w:rPr>
        <w:t>11</w:t>
      </w:r>
      <w:r>
        <w:t xml:space="preserve"> </w:t>
      </w:r>
    </w:p>
    <w:p w:rsidR="005579F7" w:rsidRDefault="00622165">
      <w:pPr>
        <w:spacing w:after="117" w:line="259" w:lineRule="auto"/>
        <w:ind w:left="0" w:right="0" w:firstLine="0"/>
        <w:jc w:val="left"/>
      </w:pPr>
      <w:r>
        <w:t xml:space="preserve"> </w:t>
      </w:r>
    </w:p>
    <w:p w:rsidR="005579F7" w:rsidRDefault="00622165">
      <w:pPr>
        <w:spacing w:after="43"/>
        <w:ind w:left="2" w:right="0"/>
      </w:pPr>
      <w:r>
        <w:t xml:space="preserve">Quanto às manifestações oculares, é comum observar casos de </w:t>
      </w:r>
      <w:proofErr w:type="spellStart"/>
      <w:r>
        <w:t>anisocoria</w:t>
      </w:r>
      <w:proofErr w:type="spellEnd"/>
      <w:r>
        <w:t>, re</w:t>
      </w:r>
      <w:r>
        <w:t>sposta lenta ou ausência de resposta pupilar à luz. A deposição de amiloide pode resultar na formação precoce de opacidades no cristalino e no vítreo. Outra queixa frequente é a síndrome do olho seco, que pode levar ao desenvolvimento de ceratoconjuntivite</w:t>
      </w:r>
      <w:r>
        <w:t xml:space="preserve">. </w:t>
      </w:r>
      <w:r>
        <w:rPr>
          <w:vertAlign w:val="superscript"/>
        </w:rPr>
        <w:t>2,12</w:t>
      </w:r>
      <w:r>
        <w:t xml:space="preserve"> </w:t>
      </w:r>
    </w:p>
    <w:p w:rsidR="005579F7" w:rsidRDefault="00622165">
      <w:pPr>
        <w:spacing w:after="117" w:line="259" w:lineRule="auto"/>
        <w:ind w:left="0" w:right="0" w:firstLine="0"/>
        <w:jc w:val="left"/>
      </w:pPr>
      <w:r>
        <w:t xml:space="preserve"> </w:t>
      </w:r>
    </w:p>
    <w:p w:rsidR="005579F7" w:rsidRDefault="00622165">
      <w:pPr>
        <w:spacing w:after="38"/>
        <w:ind w:left="2" w:right="0"/>
      </w:pPr>
      <w:r>
        <w:t>Entre as alterações oculares precoces mais proeminentes estão os vasos conjuntivais dilatados e tortuosos, bem como o olho seco. Esses fenômenos podem ser explicados pelo envolvimento inicial das fibras desmielinizadas do sistema nervoso autônomo</w:t>
      </w:r>
      <w:r>
        <w:t>, com a deposição subsequente de substância amiloide na glândula lacrimal em estágios mais avançados.</w:t>
      </w:r>
      <w:r>
        <w:rPr>
          <w:vertAlign w:val="superscript"/>
        </w:rPr>
        <w:t>10</w:t>
      </w:r>
      <w:r>
        <w:t xml:space="preserve"> </w:t>
      </w:r>
    </w:p>
    <w:p w:rsidR="005579F7" w:rsidRDefault="00622165">
      <w:pPr>
        <w:spacing w:after="118" w:line="259" w:lineRule="auto"/>
        <w:ind w:left="0" w:right="0" w:firstLine="0"/>
        <w:jc w:val="left"/>
      </w:pPr>
      <w:r>
        <w:t xml:space="preserve"> </w:t>
      </w:r>
    </w:p>
    <w:p w:rsidR="005579F7" w:rsidRDefault="00622165">
      <w:pPr>
        <w:spacing w:after="366"/>
        <w:ind w:left="2" w:right="0"/>
      </w:pPr>
      <w:r>
        <w:t xml:space="preserve">Na </w:t>
      </w:r>
      <w:proofErr w:type="spellStart"/>
      <w:r>
        <w:t>Amiloidose</w:t>
      </w:r>
      <w:proofErr w:type="spellEnd"/>
      <w:r>
        <w:t xml:space="preserve"> Hereditária (</w:t>
      </w:r>
      <w:proofErr w:type="spellStart"/>
      <w:r>
        <w:t>ATTRv</w:t>
      </w:r>
      <w:proofErr w:type="spellEnd"/>
      <w:r>
        <w:t>), há uma hipótese de que a ceratoconjuntivite seca pode ser causada pela deposição de amiloide nas camadas corneais, resultando em danos ao epitélio e ao estroma, além de afetar a inervação sensorial, causando uma progressi</w:t>
      </w:r>
      <w:r>
        <w:t>va redução da sensibilidade corneal.</w:t>
      </w:r>
      <w:r>
        <w:rPr>
          <w:vertAlign w:val="superscript"/>
        </w:rPr>
        <w:t>11</w:t>
      </w:r>
      <w:r>
        <w:t xml:space="preserve"> Outra possível patogenia, seria a ocorrência de neuropatia autonômica </w:t>
      </w:r>
      <w:r>
        <w:rPr>
          <w:vertAlign w:val="superscript"/>
        </w:rPr>
        <w:t>34</w:t>
      </w:r>
      <w:r>
        <w:t xml:space="preserve">. Ambas essas situações contribuem para a fisiopatologia do olho seco, danos ao epitélio </w:t>
      </w:r>
      <w:proofErr w:type="spellStart"/>
      <w:r>
        <w:t>corneal</w:t>
      </w:r>
      <w:proofErr w:type="spellEnd"/>
      <w:r>
        <w:t xml:space="preserve"> e desenvolvimento de </w:t>
      </w:r>
      <w:proofErr w:type="spellStart"/>
      <w:r>
        <w:t>ceratite</w:t>
      </w:r>
      <w:proofErr w:type="spellEnd"/>
      <w:r>
        <w:t xml:space="preserve">. </w:t>
      </w:r>
      <w:r>
        <w:rPr>
          <w:b/>
        </w:rPr>
        <w:t>4 MATERIAIS E MÉT</w:t>
      </w:r>
      <w:r>
        <w:rPr>
          <w:b/>
        </w:rPr>
        <w:t xml:space="preserve">ODOS </w:t>
      </w:r>
    </w:p>
    <w:p w:rsidR="005579F7" w:rsidRDefault="00622165">
      <w:pPr>
        <w:pStyle w:val="Ttulo4"/>
        <w:ind w:left="-5" w:right="485"/>
      </w:pPr>
      <w:proofErr w:type="gramStart"/>
      <w:r>
        <w:lastRenderedPageBreak/>
        <w:t>4.1  Desenho</w:t>
      </w:r>
      <w:proofErr w:type="gramEnd"/>
      <w:r>
        <w:t xml:space="preserve"> de estudo </w:t>
      </w:r>
    </w:p>
    <w:p w:rsidR="005579F7" w:rsidRDefault="00622165">
      <w:pPr>
        <w:numPr>
          <w:ilvl w:val="0"/>
          <w:numId w:val="3"/>
        </w:numPr>
        <w:spacing w:after="88" w:line="259" w:lineRule="auto"/>
        <w:ind w:right="0" w:hanging="360"/>
      </w:pPr>
      <w:r>
        <w:t xml:space="preserve">Estudo observacional, descritivo, de corte transversal. </w:t>
      </w:r>
    </w:p>
    <w:p w:rsidR="005579F7" w:rsidRDefault="00622165">
      <w:pPr>
        <w:numPr>
          <w:ilvl w:val="0"/>
          <w:numId w:val="3"/>
        </w:numPr>
        <w:spacing w:after="73" w:line="259" w:lineRule="auto"/>
        <w:ind w:right="0" w:hanging="360"/>
      </w:pPr>
      <w:r>
        <w:t xml:space="preserve">Perfil epidemiológico: Estudo primário e clínico </w:t>
      </w:r>
    </w:p>
    <w:p w:rsidR="005579F7" w:rsidRDefault="00622165">
      <w:pPr>
        <w:spacing w:after="355" w:line="259" w:lineRule="auto"/>
        <w:ind w:left="0" w:right="0" w:firstLine="0"/>
        <w:jc w:val="left"/>
      </w:pPr>
      <w:r>
        <w:t xml:space="preserve"> </w:t>
      </w:r>
    </w:p>
    <w:p w:rsidR="005579F7" w:rsidRDefault="00622165">
      <w:pPr>
        <w:pStyle w:val="Ttulo4"/>
        <w:ind w:left="-5" w:right="485"/>
      </w:pPr>
      <w:proofErr w:type="gramStart"/>
      <w:r>
        <w:t>4.2  Local</w:t>
      </w:r>
      <w:proofErr w:type="gramEnd"/>
      <w:r>
        <w:t xml:space="preserve">, duração e período de estudo </w:t>
      </w:r>
    </w:p>
    <w:p w:rsidR="005579F7" w:rsidRDefault="00622165">
      <w:pPr>
        <w:ind w:left="2" w:right="0"/>
      </w:pPr>
      <w:r>
        <w:t>O referido estudo foi realizado no Ambulatório de Doenças Neuromusculares do</w:t>
      </w:r>
      <w:r>
        <w:t xml:space="preserve"> </w:t>
      </w:r>
      <w:proofErr w:type="spellStart"/>
      <w:r>
        <w:t>Bahiana</w:t>
      </w:r>
      <w:proofErr w:type="spellEnd"/>
      <w:r>
        <w:t xml:space="preserve"> Saúde, vinculado ao SUS, localizado no bairro de Brotas, e no Departamento de Oftalmologia – Hospital Santo Antônio (Obras Sociais Irmã Dulce), localizado no Bairro de Roma, na cidade de Salvador, Bahia, durante o período de abril a agosto de 2023</w:t>
      </w:r>
      <w:r>
        <w:t xml:space="preserve">. Os pacientes portadores de </w:t>
      </w:r>
      <w:proofErr w:type="spellStart"/>
      <w:r>
        <w:t>ATTRv</w:t>
      </w:r>
      <w:proofErr w:type="spellEnd"/>
      <w:r>
        <w:t xml:space="preserve"> foram convocados para realizar avaliação oftalmológica, como parte do seu acompanhamento de rotina no referido ambulatório de neurologia, via contato telefônico ou ao tempo do comparecimento às revisões neurológicas previ</w:t>
      </w:r>
      <w:r>
        <w:t xml:space="preserve">stas. </w:t>
      </w:r>
    </w:p>
    <w:p w:rsidR="005579F7" w:rsidRDefault="00622165">
      <w:pPr>
        <w:spacing w:after="355" w:line="259" w:lineRule="auto"/>
        <w:ind w:left="0" w:right="0" w:firstLine="0"/>
        <w:jc w:val="left"/>
      </w:pPr>
      <w:r>
        <w:t xml:space="preserve"> </w:t>
      </w:r>
    </w:p>
    <w:p w:rsidR="005579F7" w:rsidRDefault="00622165">
      <w:pPr>
        <w:pStyle w:val="Ttulo4"/>
        <w:ind w:left="-5" w:right="485"/>
      </w:pPr>
      <w:proofErr w:type="gramStart"/>
      <w:r>
        <w:t>4.3  População</w:t>
      </w:r>
      <w:proofErr w:type="gramEnd"/>
      <w:r>
        <w:t xml:space="preserve"> do estudo </w:t>
      </w:r>
    </w:p>
    <w:p w:rsidR="005579F7" w:rsidRDefault="00622165">
      <w:pPr>
        <w:spacing w:after="117" w:line="259" w:lineRule="auto"/>
        <w:ind w:left="2" w:right="0"/>
      </w:pPr>
      <w:r>
        <w:rPr>
          <w:b/>
        </w:rPr>
        <w:t>População alvo</w:t>
      </w:r>
      <w:r>
        <w:t xml:space="preserve">: Pacientes com </w:t>
      </w:r>
      <w:proofErr w:type="spellStart"/>
      <w:r>
        <w:t>Amiloidose</w:t>
      </w:r>
      <w:proofErr w:type="spellEnd"/>
      <w:r>
        <w:t xml:space="preserve"> Hereditária.  </w:t>
      </w:r>
    </w:p>
    <w:p w:rsidR="005579F7" w:rsidRDefault="00622165">
      <w:pPr>
        <w:spacing w:after="119" w:line="259" w:lineRule="auto"/>
        <w:ind w:left="-5" w:right="485"/>
        <w:jc w:val="left"/>
      </w:pPr>
      <w:r>
        <w:rPr>
          <w:b/>
        </w:rPr>
        <w:t>Critérios de inclusão:</w:t>
      </w:r>
      <w:r>
        <w:rPr>
          <w:rFonts w:ascii="Times New Roman" w:eastAsia="Times New Roman" w:hAnsi="Times New Roman" w:cs="Times New Roman"/>
        </w:rPr>
        <w:t xml:space="preserve">  </w:t>
      </w:r>
    </w:p>
    <w:p w:rsidR="005579F7" w:rsidRDefault="00622165">
      <w:pPr>
        <w:numPr>
          <w:ilvl w:val="0"/>
          <w:numId w:val="4"/>
        </w:numPr>
        <w:ind w:right="0" w:hanging="360"/>
      </w:pPr>
      <w:r>
        <w:t xml:space="preserve">Pacientes com a mutação do gene da </w:t>
      </w:r>
      <w:proofErr w:type="spellStart"/>
      <w:r>
        <w:t>Transtirretina</w:t>
      </w:r>
      <w:proofErr w:type="spellEnd"/>
      <w:r>
        <w:t xml:space="preserve"> identificados através da análise do DNA, acompanhados no ambulatório de doenças neuromusculares e doenças raras da EBMSP</w:t>
      </w:r>
      <w:r>
        <w:rPr>
          <w:b/>
        </w:rPr>
        <w:t xml:space="preserve"> Critérios de exclusão: </w:t>
      </w:r>
    </w:p>
    <w:p w:rsidR="005579F7" w:rsidRDefault="00622165">
      <w:pPr>
        <w:numPr>
          <w:ilvl w:val="0"/>
          <w:numId w:val="4"/>
        </w:numPr>
        <w:spacing w:after="25"/>
        <w:ind w:right="0" w:hanging="360"/>
      </w:pPr>
      <w:r>
        <w:t xml:space="preserve">Pacientes com outro tipo de </w:t>
      </w:r>
      <w:proofErr w:type="spellStart"/>
      <w:r>
        <w:t>Amiloidose</w:t>
      </w:r>
      <w:proofErr w:type="spellEnd"/>
      <w:r>
        <w:t xml:space="preserve"> que não seja a ligada </w:t>
      </w:r>
      <w:r>
        <w:t xml:space="preserve">a </w:t>
      </w:r>
      <w:proofErr w:type="spellStart"/>
      <w:r>
        <w:t>Transtirretina</w:t>
      </w:r>
      <w:proofErr w:type="spellEnd"/>
      <w:r>
        <w:t xml:space="preserve"> - Primaria (AL) </w:t>
      </w:r>
      <w:proofErr w:type="gramStart"/>
      <w:r>
        <w:t>ou Secundária</w:t>
      </w:r>
      <w:proofErr w:type="gramEnd"/>
      <w:r>
        <w:t xml:space="preserve"> (AA) </w:t>
      </w:r>
    </w:p>
    <w:p w:rsidR="005579F7" w:rsidRDefault="00622165">
      <w:pPr>
        <w:numPr>
          <w:ilvl w:val="0"/>
          <w:numId w:val="4"/>
        </w:numPr>
        <w:spacing w:after="88" w:line="259" w:lineRule="auto"/>
        <w:ind w:right="0" w:hanging="360"/>
      </w:pPr>
      <w:r>
        <w:t xml:space="preserve">Pacientes com retinopatia diabética, </w:t>
      </w:r>
      <w:proofErr w:type="spellStart"/>
      <w:r>
        <w:t>vasculopatia</w:t>
      </w:r>
      <w:proofErr w:type="spellEnd"/>
      <w:r>
        <w:t xml:space="preserve"> aterosclerótica </w:t>
      </w:r>
    </w:p>
    <w:p w:rsidR="005579F7" w:rsidRDefault="00622165">
      <w:pPr>
        <w:numPr>
          <w:ilvl w:val="0"/>
          <w:numId w:val="4"/>
        </w:numPr>
        <w:spacing w:after="70" w:line="259" w:lineRule="auto"/>
        <w:ind w:right="0" w:hanging="360"/>
      </w:pPr>
      <w:r>
        <w:t xml:space="preserve">Pacientes com dados incompletos em prontuário </w:t>
      </w:r>
    </w:p>
    <w:p w:rsidR="005579F7" w:rsidRDefault="00622165">
      <w:pPr>
        <w:spacing w:after="117" w:line="259" w:lineRule="auto"/>
        <w:ind w:left="0" w:right="0" w:firstLine="0"/>
        <w:jc w:val="left"/>
      </w:pPr>
      <w:r>
        <w:t xml:space="preserve"> </w:t>
      </w:r>
    </w:p>
    <w:p w:rsidR="005579F7" w:rsidRDefault="00622165">
      <w:pPr>
        <w:ind w:left="2" w:right="0"/>
      </w:pPr>
      <w:r>
        <w:rPr>
          <w:b/>
        </w:rPr>
        <w:t>Tamanho e Seleção amostral</w:t>
      </w:r>
      <w:r>
        <w:t>: A amostra do estudo foi de conveniência, pois foram convida</w:t>
      </w:r>
      <w:r>
        <w:t xml:space="preserve">dos todos os pacientes diagnosticados com </w:t>
      </w:r>
      <w:proofErr w:type="spellStart"/>
      <w:r>
        <w:t>ATTRh</w:t>
      </w:r>
      <w:proofErr w:type="spellEnd"/>
      <w:r>
        <w:t xml:space="preserve"> e regularmente matriculados e acompanhados no Ambulatório de Doenças Neuromusculares.  </w:t>
      </w:r>
    </w:p>
    <w:p w:rsidR="005579F7" w:rsidRDefault="00622165">
      <w:pPr>
        <w:spacing w:after="355" w:line="259" w:lineRule="auto"/>
        <w:ind w:left="0" w:right="0" w:firstLine="0"/>
        <w:jc w:val="left"/>
      </w:pPr>
      <w:r>
        <w:t xml:space="preserve"> </w:t>
      </w:r>
    </w:p>
    <w:p w:rsidR="005579F7" w:rsidRDefault="00622165">
      <w:pPr>
        <w:pStyle w:val="Ttulo4"/>
        <w:ind w:left="-5" w:right="485"/>
      </w:pPr>
      <w:proofErr w:type="gramStart"/>
      <w:r>
        <w:t>4.4  Instrumento</w:t>
      </w:r>
      <w:proofErr w:type="gramEnd"/>
      <w:r>
        <w:t xml:space="preserve"> de coleta de dados </w:t>
      </w:r>
    </w:p>
    <w:p w:rsidR="005579F7" w:rsidRDefault="00622165">
      <w:pPr>
        <w:ind w:left="2" w:right="0"/>
      </w:pPr>
      <w:r>
        <w:rPr>
          <w:b/>
        </w:rPr>
        <w:t>Proteção dos participantes da pesquisa:</w:t>
      </w:r>
      <w:r>
        <w:t xml:space="preserve">  Os participantes da pesquisa foram subme</w:t>
      </w:r>
      <w:r>
        <w:t xml:space="preserve">tidos a uma entrevista inicial realizada em salas individuais, garantindo assim </w:t>
      </w:r>
      <w:r>
        <w:lastRenderedPageBreak/>
        <w:t xml:space="preserve">a privacidade e confidencialidade dos dados. Durante essa entrevista, um questionário semiestruturado foi aplicado pela pesquisadora para coletar informações de identificação, </w:t>
      </w:r>
      <w:r>
        <w:t xml:space="preserve">dados socioeconômicos, bem como dados clínicos e epidemiológicos. Quaisquer informações que não puderam ser obtidas durante a entrevista foram recuperadas retrospectivamente a partir dos prontuários eletrônicos. Antes do início da pesquisa, o protocolo, o </w:t>
      </w:r>
      <w:r>
        <w:t>Termo de Consentimento Livre e Esclarecido (TCLE) e outros documentos necessários foram submetidos ao Comitê de Ética em Pesquisa (CEP) para revisão e aprovação. O estudo foi iniciado apenas após a obtenção da aprovação ética pelo Sistema CEP/CONEP. Após a</w:t>
      </w:r>
      <w:r>
        <w:t xml:space="preserve"> concordância do possível participante elegível em participar do estudo, o TCLE foi assinado por ele ou por uma testemunha imparcial/representante legal, além dos pesquisadores. Ambas as partes rubricaram todas as páginas do documento, e uma cópia foi arqu</w:t>
      </w:r>
      <w:r>
        <w:t>ivada junto à documentação do estudo, enquanto a outra foi entregue ao participante da pesquisa ou ao seu representante legal. Todo o processo de obtenção de consentimento foi devidamente registrado no prontuário do participante. Os investigadores principa</w:t>
      </w:r>
      <w:r>
        <w:t>is assumiram a responsabilidade de garantir a confidencialidade dos participantes. Cada participante foi identificado por um número, e todas as informações obtidas foram codificadas e inseridas no banco de dados, sendo identificadas apenas pelo número corr</w:t>
      </w:r>
      <w:r>
        <w:t>espondente. Para preservar a confidencialidade, todos os registros que deixaram os centros de pesquisa foram identificados apenas com esses códigos numéricos. Qualquer entrada em sistemas de computador e redes foi realizada exclusivamente com o uso do códi</w:t>
      </w:r>
      <w:r>
        <w:t xml:space="preserve">go numérico. Foram tomadas todas as precauções necessárias para evitar qualquer identificação dos pacientes, e somente pessoas autorizadas tiveram acesso ao banco de dados. Todos os registros foram mantidos sob chave. </w:t>
      </w:r>
    </w:p>
    <w:p w:rsidR="005579F7" w:rsidRDefault="00622165">
      <w:pPr>
        <w:spacing w:after="117" w:line="259" w:lineRule="auto"/>
        <w:ind w:left="0" w:right="0" w:firstLine="0"/>
        <w:jc w:val="left"/>
      </w:pPr>
      <w:r>
        <w:t xml:space="preserve"> </w:t>
      </w:r>
    </w:p>
    <w:p w:rsidR="005579F7" w:rsidRDefault="00622165">
      <w:pPr>
        <w:ind w:left="2" w:right="0"/>
      </w:pPr>
      <w:r>
        <w:rPr>
          <w:b/>
        </w:rPr>
        <w:t>Gestão de dados:</w:t>
      </w:r>
      <w:r>
        <w:t xml:space="preserve"> A equipe usou o si</w:t>
      </w:r>
      <w:r>
        <w:t xml:space="preserve">stema </w:t>
      </w:r>
      <w:proofErr w:type="spellStart"/>
      <w:r>
        <w:t>REDCap</w:t>
      </w:r>
      <w:proofErr w:type="spellEnd"/>
      <w:r>
        <w:t xml:space="preserve"> (Captura Eletrônica de Dados de Pesquisa) para captura eletrônica e gerenciamento de dados. A base de dados do </w:t>
      </w:r>
      <w:proofErr w:type="spellStart"/>
      <w:r>
        <w:t>REDCap</w:t>
      </w:r>
      <w:proofErr w:type="spellEnd"/>
      <w:r>
        <w:t xml:space="preserve"> residiu-se em um centro de dados seguro da Escola </w:t>
      </w:r>
      <w:proofErr w:type="spellStart"/>
      <w:r>
        <w:t>Bahiana</w:t>
      </w:r>
      <w:proofErr w:type="spellEnd"/>
      <w:r>
        <w:t xml:space="preserve"> de Medicina e Saúde Pública, que possui todos os controles físicos,</w:t>
      </w:r>
      <w:r>
        <w:t xml:space="preserve"> técnicos e administrativos. </w:t>
      </w:r>
    </w:p>
    <w:p w:rsidR="005579F7" w:rsidRDefault="00622165">
      <w:pPr>
        <w:ind w:left="2" w:right="0"/>
      </w:pPr>
      <w:r>
        <w:t>Qualquer profissional da equipe delegado para acessar o sistema de dados, seja para acessar ou para fazer controle de qualidade dos dados, tiveram logins individuais com requisitos básicos de segurança. A equipe do estudo é tr</w:t>
      </w:r>
      <w:r>
        <w:t xml:space="preserve">einada para lidar com estas informações e manejo de dados sensíveis, devidamente identificados, e que não serão compartilhados com outras pessoas ou publicamente. </w:t>
      </w:r>
    </w:p>
    <w:p w:rsidR="005579F7" w:rsidRDefault="00622165">
      <w:pPr>
        <w:spacing w:after="117" w:line="259" w:lineRule="auto"/>
        <w:ind w:left="0" w:right="0" w:firstLine="0"/>
        <w:jc w:val="left"/>
      </w:pPr>
      <w:r>
        <w:lastRenderedPageBreak/>
        <w:t xml:space="preserve"> </w:t>
      </w:r>
    </w:p>
    <w:p w:rsidR="005579F7" w:rsidRDefault="00622165">
      <w:pPr>
        <w:spacing w:after="119" w:line="259" w:lineRule="auto"/>
        <w:ind w:left="-5" w:right="485"/>
        <w:jc w:val="left"/>
      </w:pPr>
      <w:r>
        <w:rPr>
          <w:b/>
        </w:rPr>
        <w:t xml:space="preserve">Cálculo Amostral: </w:t>
      </w:r>
    </w:p>
    <w:p w:rsidR="005579F7" w:rsidRDefault="00622165">
      <w:pPr>
        <w:ind w:left="2" w:right="0"/>
      </w:pPr>
      <w:r>
        <w:t xml:space="preserve">Considerando que a prevalência de alterações oftalmológicas varia de 10 a 20%, porém a prevalência geral de alterações oftalmológicas em portadores de </w:t>
      </w:r>
      <w:proofErr w:type="spellStart"/>
      <w:r>
        <w:t>Amiloidose</w:t>
      </w:r>
      <w:proofErr w:type="spellEnd"/>
      <w:r>
        <w:t xml:space="preserve"> por </w:t>
      </w:r>
      <w:proofErr w:type="spellStart"/>
      <w:r>
        <w:t>Transtirretina</w:t>
      </w:r>
      <w:proofErr w:type="spellEnd"/>
      <w:r>
        <w:t xml:space="preserve"> mencionada na maioria da literatura de 10%, para um nível de confiança de 9</w:t>
      </w:r>
      <w:r>
        <w:t xml:space="preserve">5%, alfa de 5%, foram necessários 59 olhos de pacientes portadores de </w:t>
      </w:r>
      <w:proofErr w:type="spellStart"/>
      <w:r>
        <w:t>ATTRv</w:t>
      </w:r>
      <w:proofErr w:type="spellEnd"/>
      <w:r>
        <w:t xml:space="preserve">. Dessa forma, foi estabelecida a meta de atendermos, no mínimo, 30 pacientes (60 olhos) com diagnóstico confirmado de </w:t>
      </w:r>
      <w:proofErr w:type="spellStart"/>
      <w:r>
        <w:t>ATTRv</w:t>
      </w:r>
      <w:proofErr w:type="spellEnd"/>
      <w:r>
        <w:t xml:space="preserve"> entre abril a agosto de 2023. </w:t>
      </w:r>
    </w:p>
    <w:p w:rsidR="005579F7" w:rsidRDefault="00622165">
      <w:pPr>
        <w:spacing w:after="115" w:line="259" w:lineRule="auto"/>
        <w:ind w:left="0" w:right="0" w:firstLine="0"/>
        <w:jc w:val="left"/>
      </w:pPr>
      <w:r>
        <w:t xml:space="preserve"> </w:t>
      </w:r>
    </w:p>
    <w:p w:rsidR="005579F7" w:rsidRDefault="00622165">
      <w:pPr>
        <w:spacing w:after="119" w:line="259" w:lineRule="auto"/>
        <w:ind w:left="-5" w:right="485"/>
        <w:jc w:val="left"/>
      </w:pPr>
      <w:r>
        <w:rPr>
          <w:b/>
        </w:rPr>
        <w:t xml:space="preserve">Aquisição de Dados: </w:t>
      </w:r>
    </w:p>
    <w:p w:rsidR="005579F7" w:rsidRDefault="00622165">
      <w:pPr>
        <w:pStyle w:val="Ttulo3"/>
        <w:ind w:left="-5" w:right="485"/>
      </w:pPr>
      <w:r>
        <w:t>Da</w:t>
      </w:r>
      <w:r>
        <w:t xml:space="preserve">dos demográficos </w:t>
      </w:r>
    </w:p>
    <w:p w:rsidR="005579F7" w:rsidRDefault="00622165">
      <w:pPr>
        <w:ind w:left="2" w:right="0"/>
      </w:pPr>
      <w:r>
        <w:t xml:space="preserve">Os dados demográficos, neurológicos e sistêmicos foram obtidos dos prontuários dos pacientes acompanhados no Ambulatório de Doenças Neuromusculares do Centro </w:t>
      </w:r>
      <w:proofErr w:type="spellStart"/>
      <w:r>
        <w:t>Bahiana</w:t>
      </w:r>
      <w:proofErr w:type="spellEnd"/>
      <w:r>
        <w:t xml:space="preserve"> Saúde. </w:t>
      </w:r>
    </w:p>
    <w:p w:rsidR="005579F7" w:rsidRDefault="00622165">
      <w:pPr>
        <w:spacing w:after="117" w:line="259" w:lineRule="auto"/>
        <w:ind w:left="0" w:right="0" w:firstLine="0"/>
        <w:jc w:val="left"/>
      </w:pPr>
      <w:r>
        <w:t xml:space="preserve"> </w:t>
      </w:r>
    </w:p>
    <w:p w:rsidR="005579F7" w:rsidRDefault="00622165">
      <w:pPr>
        <w:pStyle w:val="Ttulo3"/>
        <w:ind w:left="-5" w:right="485"/>
      </w:pPr>
      <w:r>
        <w:t xml:space="preserve">Avaliação do </w:t>
      </w:r>
      <w:proofErr w:type="spellStart"/>
      <w:r>
        <w:t>olho-seco</w:t>
      </w:r>
      <w:proofErr w:type="spellEnd"/>
      <w:r>
        <w:t xml:space="preserve"> </w:t>
      </w:r>
    </w:p>
    <w:p w:rsidR="005579F7" w:rsidRDefault="00622165">
      <w:pPr>
        <w:spacing w:after="117" w:line="259" w:lineRule="auto"/>
        <w:ind w:left="0" w:right="0" w:firstLine="0"/>
        <w:jc w:val="left"/>
      </w:pPr>
      <w:r>
        <w:t xml:space="preserve"> </w:t>
      </w:r>
    </w:p>
    <w:p w:rsidR="005579F7" w:rsidRDefault="00622165">
      <w:pPr>
        <w:spacing w:after="48"/>
        <w:ind w:left="2" w:right="0"/>
      </w:pPr>
      <w:r>
        <w:t>Para diagnosticar o olho seco, segui</w:t>
      </w:r>
      <w:r>
        <w:t xml:space="preserve">mos as diretrizes do Consenso TFOS </w:t>
      </w:r>
      <w:proofErr w:type="spellStart"/>
      <w:r>
        <w:t>Dry</w:t>
      </w:r>
      <w:proofErr w:type="spellEnd"/>
      <w:r>
        <w:t xml:space="preserve"> </w:t>
      </w:r>
      <w:proofErr w:type="spellStart"/>
      <w:r>
        <w:t>Eye</w:t>
      </w:r>
      <w:proofErr w:type="spellEnd"/>
      <w:r>
        <w:t xml:space="preserve"> Workshop II </w:t>
      </w:r>
      <w:proofErr w:type="spellStart"/>
      <w:r>
        <w:t>Executive</w:t>
      </w:r>
      <w:proofErr w:type="spellEnd"/>
      <w:r>
        <w:t xml:space="preserve"> </w:t>
      </w:r>
      <w:proofErr w:type="spellStart"/>
      <w:r>
        <w:t>Summary</w:t>
      </w:r>
      <w:proofErr w:type="spellEnd"/>
      <w:r>
        <w:t xml:space="preserve"> (TFOS DEWS II).</w:t>
      </w:r>
      <w:r>
        <w:rPr>
          <w:vertAlign w:val="superscript"/>
        </w:rPr>
        <w:t xml:space="preserve"> 35 </w:t>
      </w:r>
      <w:r>
        <w:t xml:space="preserve">Realizamos os seguintes testes: </w:t>
      </w:r>
    </w:p>
    <w:p w:rsidR="005579F7" w:rsidRDefault="00622165">
      <w:pPr>
        <w:spacing w:after="113" w:line="259" w:lineRule="auto"/>
        <w:ind w:left="730" w:right="0"/>
      </w:pPr>
      <w:r>
        <w:t xml:space="preserve">.  </w:t>
      </w:r>
    </w:p>
    <w:p w:rsidR="005579F7" w:rsidRDefault="00622165">
      <w:pPr>
        <w:numPr>
          <w:ilvl w:val="0"/>
          <w:numId w:val="5"/>
        </w:numPr>
        <w:spacing w:after="103" w:line="259" w:lineRule="auto"/>
        <w:ind w:right="0" w:hanging="360"/>
      </w:pPr>
      <w:r>
        <w:t>Questionário Índice de Doença da Superfície Ocular (IDSO):</w:t>
      </w:r>
      <w:r>
        <w:rPr>
          <w:vertAlign w:val="superscript"/>
        </w:rPr>
        <w:t xml:space="preserve"> 26</w:t>
      </w:r>
      <w:r>
        <w:t xml:space="preserve"> </w:t>
      </w:r>
    </w:p>
    <w:p w:rsidR="005579F7" w:rsidRDefault="00622165">
      <w:pPr>
        <w:ind w:left="2" w:right="0"/>
      </w:pPr>
      <w:r>
        <w:t xml:space="preserve">Fizemos uma avaliação presencial utilizando o questionário IDSO, que consiste em 12 perguntas graduadas de 0 a 4, em que valores mais altos indicam maior sintomatologia. As respostas foram analisadas e classificadas de acordo com o IDSO, que categoriza os </w:t>
      </w:r>
      <w:r>
        <w:t xml:space="preserve">sintomas em normal, leves, moderados e severos. </w:t>
      </w:r>
    </w:p>
    <w:p w:rsidR="005579F7" w:rsidRDefault="00622165">
      <w:pPr>
        <w:spacing w:after="115" w:line="259" w:lineRule="auto"/>
        <w:ind w:left="0" w:right="0" w:firstLine="0"/>
        <w:jc w:val="left"/>
      </w:pPr>
      <w:r>
        <w:t xml:space="preserve"> </w:t>
      </w:r>
    </w:p>
    <w:p w:rsidR="005579F7" w:rsidRDefault="00622165">
      <w:pPr>
        <w:spacing w:after="136" w:line="259" w:lineRule="auto"/>
        <w:ind w:left="0" w:right="0" w:firstLine="0"/>
        <w:jc w:val="left"/>
      </w:pPr>
      <w:r>
        <w:t xml:space="preserve"> </w:t>
      </w:r>
    </w:p>
    <w:p w:rsidR="005579F7" w:rsidRDefault="00622165">
      <w:pPr>
        <w:numPr>
          <w:ilvl w:val="0"/>
          <w:numId w:val="5"/>
        </w:numPr>
        <w:spacing w:line="259" w:lineRule="auto"/>
        <w:ind w:right="0" w:hanging="360"/>
      </w:pPr>
      <w:r>
        <w:t xml:space="preserve">Teste de </w:t>
      </w:r>
      <w:proofErr w:type="spellStart"/>
      <w:r>
        <w:t>Shirmer</w:t>
      </w:r>
      <w:proofErr w:type="spellEnd"/>
      <w:r>
        <w:t xml:space="preserve"> II:  </w:t>
      </w:r>
    </w:p>
    <w:p w:rsidR="005579F7" w:rsidRDefault="00622165">
      <w:pPr>
        <w:ind w:left="2" w:right="0"/>
      </w:pPr>
      <w:r>
        <w:t xml:space="preserve">Os pacientes foram posicionados em uma cadeira e receberam colírio anestésico. Em seguida, colocamos a tira na margem inferior de ambos os olhos e cronometramos cinco minutos antes de registrar os resultados. </w:t>
      </w:r>
    </w:p>
    <w:p w:rsidR="005579F7" w:rsidRDefault="00622165">
      <w:pPr>
        <w:spacing w:after="108" w:line="259" w:lineRule="auto"/>
        <w:ind w:left="0" w:right="0" w:firstLine="0"/>
        <w:jc w:val="left"/>
      </w:pPr>
      <w:r>
        <w:t xml:space="preserve"> </w:t>
      </w:r>
    </w:p>
    <w:p w:rsidR="005579F7" w:rsidRDefault="00622165">
      <w:pPr>
        <w:spacing w:after="64" w:line="259" w:lineRule="auto"/>
        <w:ind w:left="1654" w:right="0" w:firstLine="0"/>
        <w:jc w:val="left"/>
      </w:pPr>
      <w:r>
        <w:rPr>
          <w:noProof/>
        </w:rPr>
        <w:lastRenderedPageBreak/>
        <w:drawing>
          <wp:inline distT="0" distB="0" distL="0" distR="0">
            <wp:extent cx="3652520" cy="2691765"/>
            <wp:effectExtent l="0" t="0" r="0" b="0"/>
            <wp:docPr id="2148" name="Picture 2148"/>
            <wp:cNvGraphicFramePr/>
            <a:graphic xmlns:a="http://schemas.openxmlformats.org/drawingml/2006/main">
              <a:graphicData uri="http://schemas.openxmlformats.org/drawingml/2006/picture">
                <pic:pic xmlns:pic="http://schemas.openxmlformats.org/drawingml/2006/picture">
                  <pic:nvPicPr>
                    <pic:cNvPr id="2148" name="Picture 2148"/>
                    <pic:cNvPicPr/>
                  </pic:nvPicPr>
                  <pic:blipFill>
                    <a:blip r:embed="rId11"/>
                    <a:stretch>
                      <a:fillRect/>
                    </a:stretch>
                  </pic:blipFill>
                  <pic:spPr>
                    <a:xfrm>
                      <a:off x="0" y="0"/>
                      <a:ext cx="3652520" cy="2691765"/>
                    </a:xfrm>
                    <a:prstGeom prst="rect">
                      <a:avLst/>
                    </a:prstGeom>
                  </pic:spPr>
                </pic:pic>
              </a:graphicData>
            </a:graphic>
          </wp:inline>
        </w:drawing>
      </w:r>
      <w:r>
        <w:t xml:space="preserve"> </w:t>
      </w:r>
    </w:p>
    <w:p w:rsidR="005579F7" w:rsidRDefault="00622165">
      <w:pPr>
        <w:ind w:left="2" w:right="0"/>
      </w:pPr>
      <w:r>
        <w:t xml:space="preserve">Figura 1. Paciente com </w:t>
      </w:r>
      <w:proofErr w:type="spellStart"/>
      <w:r>
        <w:t>Amiloidose</w:t>
      </w:r>
      <w:proofErr w:type="spellEnd"/>
      <w:r>
        <w:t xml:space="preserve"> Heredit</w:t>
      </w:r>
      <w:r>
        <w:t xml:space="preserve">ária ao final do Teste de </w:t>
      </w:r>
      <w:proofErr w:type="spellStart"/>
      <w:r>
        <w:t>Schirmer</w:t>
      </w:r>
      <w:proofErr w:type="spellEnd"/>
      <w:r>
        <w:t xml:space="preserve"> II Fonte: Arquivo da pesquisa  </w:t>
      </w:r>
    </w:p>
    <w:p w:rsidR="005579F7" w:rsidRDefault="00622165">
      <w:pPr>
        <w:spacing w:after="133" w:line="259" w:lineRule="auto"/>
        <w:ind w:left="0" w:right="0" w:firstLine="0"/>
        <w:jc w:val="left"/>
      </w:pPr>
      <w:r>
        <w:t xml:space="preserve"> </w:t>
      </w:r>
    </w:p>
    <w:p w:rsidR="005579F7" w:rsidRDefault="00622165">
      <w:pPr>
        <w:numPr>
          <w:ilvl w:val="0"/>
          <w:numId w:val="5"/>
        </w:numPr>
        <w:spacing w:after="73" w:line="259" w:lineRule="auto"/>
        <w:ind w:right="0" w:hanging="360"/>
      </w:pPr>
      <w:r>
        <w:t xml:space="preserve">Teste do Tingimento Ocular: </w:t>
      </w:r>
    </w:p>
    <w:p w:rsidR="005579F7" w:rsidRDefault="00622165">
      <w:pPr>
        <w:ind w:left="2" w:right="0"/>
      </w:pPr>
      <w:r>
        <w:t xml:space="preserve">O teste de tingimento ocular preconizado pelo Tear </w:t>
      </w:r>
      <w:proofErr w:type="spellStart"/>
      <w:r>
        <w:t>Film</w:t>
      </w:r>
      <w:proofErr w:type="spellEnd"/>
      <w:r>
        <w:t xml:space="preserve"> </w:t>
      </w:r>
      <w:proofErr w:type="spellStart"/>
      <w:r>
        <w:t>and</w:t>
      </w:r>
      <w:proofErr w:type="spellEnd"/>
      <w:r>
        <w:t xml:space="preserve"> Ocular Surface Society (TFOS) é uma ferramenta diagnóstica usada para avaliar a saúde da superfíci</w:t>
      </w:r>
      <w:r>
        <w:t>e ocular e a estabilidade do filme lacrimal. Esse teste é frequentemente chamado de "teste do tingimento ocular" ou "teste do olho seco" e é uma parte importante da avaliação de pacientes com suspeita de olho seco ou distúrbios da superfície ocular. Aplico</w:t>
      </w:r>
      <w:r>
        <w:t>u-se uma pequena quantidade de corante fluoresceína na superfície do olho do paciente. Esse corante é usado para avaliar a estabilidade do filme lacrimal e a integridade da superfície ocular. O corante fluoresceína adere às áreas da superfície ocular que e</w:t>
      </w:r>
      <w:r>
        <w:t xml:space="preserve">stão danificadas ou desprotegidas pela lágrima, criando manchas verdes brilhantes. Observou-se as áreas onde os corantes se acumularam ou mancharam a superfície ocular. A extensão e a localização das manchas indicaram a presença e a gravidade de problemas </w:t>
      </w:r>
      <w:r>
        <w:t xml:space="preserve">na superfície ocular, como abrasões </w:t>
      </w:r>
      <w:proofErr w:type="spellStart"/>
      <w:r>
        <w:t>corneanas</w:t>
      </w:r>
      <w:proofErr w:type="spellEnd"/>
      <w:r>
        <w:t>, áreas de desgaste da córnea ou danos à camada de mucina do filme lacrimal. Os pacientes que obtiveram tingimento em pelo menos cinco pontos na conjuntiva e nove pontos na córnea, foram indicados como portadore</w:t>
      </w:r>
      <w:r>
        <w:t>s de ceratite.</w:t>
      </w:r>
      <w:r>
        <w:rPr>
          <w:vertAlign w:val="superscript"/>
        </w:rPr>
        <w:t>25</w:t>
      </w: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pStyle w:val="Ttulo3"/>
        <w:ind w:left="-5" w:right="485"/>
      </w:pPr>
      <w:r>
        <w:t xml:space="preserve">Avaliação pupilar </w:t>
      </w:r>
    </w:p>
    <w:p w:rsidR="005579F7" w:rsidRDefault="00622165">
      <w:pPr>
        <w:ind w:left="2" w:right="0"/>
      </w:pPr>
      <w:r>
        <w:t>As avaliações efetuaram-</w:t>
      </w:r>
      <w:r>
        <w:t xml:space="preserve">se com voluntários sentados num banco e com a cabeça apoiada. Foi pedido aos pacientes que fixassem a vista em um ponto </w:t>
      </w:r>
      <w:r>
        <w:lastRenderedPageBreak/>
        <w:t xml:space="preserve">aproximadamente a 1 metro de distância, na mesma altura dos olhos dos participantes. Todos os indivíduos que usavam óculos efetuaram as </w:t>
      </w:r>
      <w:r>
        <w:t>medições sem os usos deles. Nenhum dos participantes estava usando lente de contato no momento da avaliação. Na avaliação pupilar, foram medidos os reflexos direto, consensual e dissociação luz-próximo – DLP com uma lanterna</w:t>
      </w:r>
      <w:r>
        <w:rPr>
          <w:vertAlign w:val="superscript"/>
        </w:rPr>
        <w:t>36</w:t>
      </w:r>
      <w:r>
        <w:t xml:space="preserve">.  </w:t>
      </w:r>
    </w:p>
    <w:p w:rsidR="005579F7" w:rsidRDefault="00622165">
      <w:pPr>
        <w:spacing w:after="355" w:line="259" w:lineRule="auto"/>
        <w:ind w:left="0" w:right="0" w:firstLine="0"/>
        <w:jc w:val="left"/>
      </w:pPr>
      <w:r>
        <w:t xml:space="preserve"> </w:t>
      </w:r>
    </w:p>
    <w:p w:rsidR="005579F7" w:rsidRDefault="00622165">
      <w:pPr>
        <w:pStyle w:val="Ttulo4"/>
        <w:ind w:left="-5" w:right="485"/>
      </w:pPr>
      <w:r>
        <w:t xml:space="preserve">4.5 Plano de análise de </w:t>
      </w:r>
      <w:r>
        <w:t xml:space="preserve">dados </w:t>
      </w:r>
    </w:p>
    <w:p w:rsidR="005579F7" w:rsidRDefault="00622165">
      <w:pPr>
        <w:spacing w:after="36"/>
        <w:ind w:left="2" w:right="0"/>
      </w:pPr>
      <w:r>
        <w:t>Os dados foram coletados e tabulados no programa Microsoft Excel (2016), o programa SPSS (versão 25.0) foi usado para as análises. Variáveis categóricas foram descritas com percentual (proporção). Variáveis contínuas por média ± desvio padrão (param</w:t>
      </w:r>
      <w:r>
        <w:t xml:space="preserve">étricas) ou mediana e intervalo interquartil (não paramétricas). Dados categóricos foram comparados pelo teste do </w:t>
      </w:r>
      <w:proofErr w:type="spellStart"/>
      <w:r>
        <w:t>qui</w:t>
      </w:r>
      <w:proofErr w:type="spellEnd"/>
      <w:r>
        <w:t xml:space="preserve">-quadrado e os contínuos pelo teste </w:t>
      </w:r>
    </w:p>
    <w:p w:rsidR="005579F7" w:rsidRDefault="00622165">
      <w:pPr>
        <w:ind w:left="2" w:right="0"/>
      </w:pPr>
      <w:r>
        <w:t xml:space="preserve">“t” de </w:t>
      </w:r>
      <w:proofErr w:type="spellStart"/>
      <w:r>
        <w:t>Student</w:t>
      </w:r>
      <w:proofErr w:type="spellEnd"/>
      <w:r>
        <w:t xml:space="preserve"> (</w:t>
      </w:r>
      <w:proofErr w:type="spellStart"/>
      <w:r>
        <w:t>paramétricas</w:t>
      </w:r>
      <w:proofErr w:type="spellEnd"/>
      <w:r>
        <w:t xml:space="preserve">) ou </w:t>
      </w:r>
      <w:proofErr w:type="spellStart"/>
      <w:r>
        <w:t>Wilcoxon</w:t>
      </w:r>
      <w:proofErr w:type="spellEnd"/>
      <w:r>
        <w:t xml:space="preserve"> (</w:t>
      </w:r>
      <w:proofErr w:type="spellStart"/>
      <w:r>
        <w:t>não</w:t>
      </w:r>
      <w:proofErr w:type="spellEnd"/>
      <w:r>
        <w:t xml:space="preserve"> </w:t>
      </w:r>
      <w:proofErr w:type="spellStart"/>
      <w:r>
        <w:t>paramétricas</w:t>
      </w:r>
      <w:proofErr w:type="spellEnd"/>
      <w:r>
        <w:t xml:space="preserve">). Análise de regressão logística uni e </w:t>
      </w:r>
      <w:r>
        <w:t xml:space="preserve">multivariada foram aplicados para se determinar os preditores independentes de detecção de comprometimento ocular na população. Um valor de p &lt; 0,05 será utilizado como parâmetro de significância estatística em todas as análises.  </w:t>
      </w:r>
    </w:p>
    <w:p w:rsidR="005579F7" w:rsidRDefault="00622165">
      <w:pPr>
        <w:spacing w:after="355" w:line="259" w:lineRule="auto"/>
        <w:ind w:left="0" w:right="0" w:firstLine="0"/>
        <w:jc w:val="left"/>
      </w:pPr>
      <w:r>
        <w:t xml:space="preserve"> </w:t>
      </w:r>
    </w:p>
    <w:p w:rsidR="005579F7" w:rsidRDefault="00622165">
      <w:pPr>
        <w:pStyle w:val="Ttulo4"/>
        <w:ind w:left="-5" w:right="485"/>
      </w:pPr>
      <w:proofErr w:type="gramStart"/>
      <w:r>
        <w:t>4.6  Aspectos</w:t>
      </w:r>
      <w:proofErr w:type="gramEnd"/>
      <w:r>
        <w:t xml:space="preserve"> éticos </w:t>
      </w:r>
    </w:p>
    <w:p w:rsidR="005579F7" w:rsidRDefault="00622165">
      <w:pPr>
        <w:spacing w:after="137" w:line="259" w:lineRule="auto"/>
        <w:ind w:left="0" w:right="0" w:firstLine="0"/>
        <w:jc w:val="left"/>
      </w:pPr>
      <w:r>
        <w:rPr>
          <w:rFonts w:ascii="Times New Roman" w:eastAsia="Times New Roman" w:hAnsi="Times New Roman" w:cs="Times New Roman"/>
        </w:rPr>
        <w:t xml:space="preserve"> </w:t>
      </w:r>
    </w:p>
    <w:p w:rsidR="005579F7" w:rsidRDefault="00622165">
      <w:pPr>
        <w:ind w:left="2" w:right="0"/>
      </w:pPr>
      <w:r>
        <w:t xml:space="preserve">Este é um subprojeto do projeto intitulado “Prevalência do envolvimento ocular nos portadores de </w:t>
      </w:r>
      <w:proofErr w:type="spellStart"/>
      <w:r>
        <w:t>Amiloidose</w:t>
      </w:r>
      <w:proofErr w:type="spellEnd"/>
      <w:r>
        <w:t xml:space="preserve"> Hereditária (TTR) no Estado da Bahia” aprovado no Comitê de Ética em Pesquisa da Fundação </w:t>
      </w:r>
      <w:proofErr w:type="spellStart"/>
      <w:r>
        <w:t>Bahiana</w:t>
      </w:r>
      <w:proofErr w:type="spellEnd"/>
      <w:r>
        <w:t xml:space="preserve"> para Desenvolvimento das Ciências - FUNDECI sob</w:t>
      </w:r>
      <w:r>
        <w:t xml:space="preserve"> o CAAE 62388722.6.0000.5544 e parecer nº 5.968.765 (ANEXO B), cumprindo com todos os pré-requisitos exigidos nesta instituição e obedecendo à Resolução 466/12 do Conselho Nacional de Saúde (CNS).  </w:t>
      </w:r>
    </w:p>
    <w:p w:rsidR="005579F7" w:rsidRDefault="00622165">
      <w:pPr>
        <w:spacing w:after="117" w:line="259" w:lineRule="auto"/>
        <w:ind w:left="0" w:right="0" w:firstLine="0"/>
        <w:jc w:val="left"/>
      </w:pPr>
      <w:r>
        <w:t xml:space="preserve"> </w:t>
      </w:r>
    </w:p>
    <w:p w:rsidR="005579F7" w:rsidRDefault="00622165">
      <w:pPr>
        <w:ind w:left="2" w:right="0"/>
      </w:pPr>
      <w:r>
        <w:t>O propósito da pesquisa foi apresentado ao paciente e a</w:t>
      </w:r>
      <w:r>
        <w:t>o seu responsável, no dia da consulta no Ambulatório de Doenças Neuromusculares, seguindo as normas básicas do CEP, resolução 466/12 do Conselho Nacional de Saúde (CNS). Após leitura do texto pelo paciente ou seus familiares, os responsáveis do trabalho ex</w:t>
      </w:r>
      <w:r>
        <w:t xml:space="preserve">plicaram e esclareceram verbalmente e por escrito sobre os objetivos do estudo, sua forma de participação e formas de contato com o coordenador da pesquisa. Os pacientes ou responsáveis assinaram o termo de consentimento livre esclarecido (TCLE). A </w:t>
      </w:r>
      <w:r>
        <w:lastRenderedPageBreak/>
        <w:t>partici</w:t>
      </w:r>
      <w:r>
        <w:t>pação de todos os indivíduos foi totalmente voluntária e confidencial. Além disso, não foi oferecida nenhuma compensação financeira. Todos os participantes estavam cientes de que a recusa da participação na pesquisa não implicaria em mudanças no atendiment</w:t>
      </w:r>
      <w:r>
        <w:t xml:space="preserve">o.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8"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pStyle w:val="Ttulo3"/>
        <w:ind w:left="-5" w:right="485"/>
      </w:pPr>
      <w:r>
        <w:t xml:space="preserve">5 RESULTADOS </w:t>
      </w:r>
    </w:p>
    <w:p w:rsidR="005579F7" w:rsidRDefault="00622165">
      <w:pPr>
        <w:ind w:left="370" w:right="0"/>
      </w:pPr>
      <w:r>
        <w:t xml:space="preserve">Foram incluídos no estudo 37 pacientes (74 olhos) matriculados no Ambulatório de Doenças Neuromusculares da Escola </w:t>
      </w:r>
      <w:proofErr w:type="spellStart"/>
      <w:r>
        <w:t>Bahiana</w:t>
      </w:r>
      <w:proofErr w:type="spellEnd"/>
      <w:r>
        <w:t xml:space="preserve"> de Medicina e Saúde Pública (EBMSP) com diagnóstico de </w:t>
      </w:r>
      <w:proofErr w:type="spellStart"/>
      <w:r>
        <w:t>Amiloidose</w:t>
      </w:r>
      <w:proofErr w:type="spellEnd"/>
      <w:r>
        <w:t xml:space="preserve"> Hereditária. Todos os pacientes preencheram os critérios de inclusão. </w:t>
      </w:r>
    </w:p>
    <w:p w:rsidR="005579F7" w:rsidRDefault="00622165">
      <w:pPr>
        <w:spacing w:after="117" w:line="259" w:lineRule="auto"/>
        <w:ind w:left="360" w:right="0" w:firstLine="0"/>
        <w:jc w:val="left"/>
      </w:pPr>
      <w:r>
        <w:lastRenderedPageBreak/>
        <w:t xml:space="preserve"> </w:t>
      </w:r>
    </w:p>
    <w:p w:rsidR="005579F7" w:rsidRDefault="00622165">
      <w:pPr>
        <w:ind w:left="370" w:right="0"/>
      </w:pPr>
      <w:r>
        <w:t>Do total, 23 pacientes eram do sexo feminino (62,2%) e a mediana de idade foi 54 anos (37.5-62.5). A mediana da idade de início dos sintomas foi 49.0 (31-59.5) e a mediana de idade n</w:t>
      </w:r>
      <w:r>
        <w:t xml:space="preserve">o diagnóstico correspondeu a 49 (35.5-56.5). As características demográficas da coorte inteira estão retratadas na Tabela 01.  </w:t>
      </w:r>
    </w:p>
    <w:p w:rsidR="005579F7" w:rsidRDefault="00622165">
      <w:pPr>
        <w:spacing w:after="0" w:line="259" w:lineRule="auto"/>
        <w:ind w:left="0" w:right="0" w:firstLine="0"/>
        <w:jc w:val="left"/>
      </w:pPr>
      <w:r>
        <w:t xml:space="preserve"> </w:t>
      </w:r>
    </w:p>
    <w:p w:rsidR="005579F7" w:rsidRDefault="00622165">
      <w:pPr>
        <w:spacing w:after="8" w:line="259" w:lineRule="auto"/>
        <w:ind w:left="0" w:right="0" w:firstLine="0"/>
        <w:jc w:val="left"/>
      </w:pPr>
      <w:r>
        <w:rPr>
          <w:rFonts w:ascii="Calibri" w:eastAsia="Calibri" w:hAnsi="Calibri" w:cs="Calibri"/>
          <w:noProof/>
          <w:sz w:val="22"/>
        </w:rPr>
        <mc:AlternateContent>
          <mc:Choice Requires="wpg">
            <w:drawing>
              <wp:inline distT="0" distB="0" distL="0" distR="0">
                <wp:extent cx="5502478" cy="6096"/>
                <wp:effectExtent l="0" t="0" r="0" b="0"/>
                <wp:docPr id="32777" name="Group 32777"/>
                <wp:cNvGraphicFramePr/>
                <a:graphic xmlns:a="http://schemas.openxmlformats.org/drawingml/2006/main">
                  <a:graphicData uri="http://schemas.microsoft.com/office/word/2010/wordprocessingGroup">
                    <wpg:wgp>
                      <wpg:cNvGrpSpPr/>
                      <wpg:grpSpPr>
                        <a:xfrm>
                          <a:off x="0" y="0"/>
                          <a:ext cx="5502478" cy="6096"/>
                          <a:chOff x="0" y="0"/>
                          <a:chExt cx="5502478" cy="6096"/>
                        </a:xfrm>
                      </wpg:grpSpPr>
                      <wps:wsp>
                        <wps:cNvPr id="36781" name="Shape 36781"/>
                        <wps:cNvSpPr/>
                        <wps:spPr>
                          <a:xfrm>
                            <a:off x="0" y="0"/>
                            <a:ext cx="3937127" cy="9144"/>
                          </a:xfrm>
                          <a:custGeom>
                            <a:avLst/>
                            <a:gdLst/>
                            <a:ahLst/>
                            <a:cxnLst/>
                            <a:rect l="0" t="0" r="0" b="0"/>
                            <a:pathLst>
                              <a:path w="3937127" h="9144">
                                <a:moveTo>
                                  <a:pt x="0" y="0"/>
                                </a:moveTo>
                                <a:lnTo>
                                  <a:pt x="3937127" y="0"/>
                                </a:lnTo>
                                <a:lnTo>
                                  <a:pt x="3937127"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82" name="Shape 36782"/>
                        <wps:cNvSpPr/>
                        <wps:spPr>
                          <a:xfrm>
                            <a:off x="39370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83" name="Shape 36783"/>
                        <wps:cNvSpPr/>
                        <wps:spPr>
                          <a:xfrm>
                            <a:off x="3943172" y="0"/>
                            <a:ext cx="1559306" cy="9144"/>
                          </a:xfrm>
                          <a:custGeom>
                            <a:avLst/>
                            <a:gdLst/>
                            <a:ahLst/>
                            <a:cxnLst/>
                            <a:rect l="0" t="0" r="0" b="0"/>
                            <a:pathLst>
                              <a:path w="1559306" h="9144">
                                <a:moveTo>
                                  <a:pt x="0" y="0"/>
                                </a:moveTo>
                                <a:lnTo>
                                  <a:pt x="1559306" y="0"/>
                                </a:lnTo>
                                <a:lnTo>
                                  <a:pt x="155930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2777" style="width:433.266pt;height:0.47998pt;mso-position-horizontal-relative:char;mso-position-vertical-relative:line" coordsize="55024,60">
                <v:shape id="Shape 36784" style="position:absolute;width:39371;height:91;left:0;top:0;" coordsize="3937127,9144" path="m0,0l3937127,0l3937127,9144l0,9144l0,0">
                  <v:stroke weight="0pt" endcap="flat" joinstyle="miter" miterlimit="10" on="false" color="#000000" opacity="0"/>
                  <v:fill on="true" color="#7f7f7f"/>
                </v:shape>
                <v:shape id="Shape 36785" style="position:absolute;width:91;height:91;left:39370;top:0;" coordsize="9144,9144" path="m0,0l9144,0l9144,9144l0,9144l0,0">
                  <v:stroke weight="0pt" endcap="flat" joinstyle="miter" miterlimit="10" on="false" color="#000000" opacity="0"/>
                  <v:fill on="true" color="#7f7f7f"/>
                </v:shape>
                <v:shape id="Shape 36786" style="position:absolute;width:15593;height:91;left:39431;top:0;" coordsize="1559306,9144" path="m0,0l1559306,0l1559306,9144l0,9144l0,0">
                  <v:stroke weight="0pt" endcap="flat" joinstyle="miter" miterlimit="10" on="false" color="#000000" opacity="0"/>
                  <v:fill on="true" color="#7f7f7f"/>
                </v:shape>
              </v:group>
            </w:pict>
          </mc:Fallback>
        </mc:AlternateContent>
      </w:r>
    </w:p>
    <w:tbl>
      <w:tblPr>
        <w:tblStyle w:val="TableGrid"/>
        <w:tblW w:w="8046" w:type="dxa"/>
        <w:tblInd w:w="108" w:type="dxa"/>
        <w:tblCellMar>
          <w:top w:w="0" w:type="dxa"/>
          <w:left w:w="0" w:type="dxa"/>
          <w:bottom w:w="0" w:type="dxa"/>
          <w:right w:w="0" w:type="dxa"/>
        </w:tblCellMar>
        <w:tblLook w:val="04A0" w:firstRow="1" w:lastRow="0" w:firstColumn="1" w:lastColumn="0" w:noHBand="0" w:noVBand="1"/>
      </w:tblPr>
      <w:tblGrid>
        <w:gridCol w:w="5617"/>
        <w:gridCol w:w="2429"/>
      </w:tblGrid>
      <w:tr w:rsidR="005579F7">
        <w:trPr>
          <w:trHeight w:val="341"/>
        </w:trPr>
        <w:tc>
          <w:tcPr>
            <w:tcW w:w="5617" w:type="dxa"/>
            <w:tcBorders>
              <w:top w:val="nil"/>
              <w:left w:val="nil"/>
              <w:bottom w:val="nil"/>
              <w:right w:val="nil"/>
            </w:tcBorders>
          </w:tcPr>
          <w:p w:rsidR="005579F7" w:rsidRDefault="00622165">
            <w:pPr>
              <w:spacing w:after="0" w:line="259" w:lineRule="auto"/>
              <w:ind w:left="1315" w:right="0" w:firstLine="0"/>
              <w:jc w:val="left"/>
            </w:pPr>
            <w:r>
              <w:rPr>
                <w:b/>
              </w:rPr>
              <w:t>Características demográficas</w:t>
            </w:r>
            <w:r>
              <w:t xml:space="preserve"> </w:t>
            </w:r>
          </w:p>
        </w:tc>
        <w:tc>
          <w:tcPr>
            <w:tcW w:w="2429" w:type="dxa"/>
            <w:tcBorders>
              <w:top w:val="nil"/>
              <w:left w:val="nil"/>
              <w:bottom w:val="nil"/>
              <w:right w:val="nil"/>
            </w:tcBorders>
          </w:tcPr>
          <w:p w:rsidR="005579F7" w:rsidRDefault="00622165">
            <w:pPr>
              <w:spacing w:after="0" w:line="259" w:lineRule="auto"/>
              <w:ind w:left="1361" w:right="0" w:firstLine="0"/>
              <w:jc w:val="left"/>
            </w:pPr>
            <w:r>
              <w:t>Dados</w:t>
            </w:r>
            <w:r>
              <w:rPr>
                <w:b/>
              </w:rPr>
              <w:t xml:space="preserve">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Gênero, n. (%)</w:t>
            </w:r>
            <w:r>
              <w:t xml:space="preserve"> </w:t>
            </w:r>
          </w:p>
        </w:tc>
        <w:tc>
          <w:tcPr>
            <w:tcW w:w="2429" w:type="dxa"/>
            <w:tcBorders>
              <w:top w:val="nil"/>
              <w:left w:val="nil"/>
              <w:bottom w:val="nil"/>
              <w:right w:val="nil"/>
            </w:tcBorders>
          </w:tcPr>
          <w:p w:rsidR="005579F7" w:rsidRDefault="00622165">
            <w:pPr>
              <w:spacing w:after="0" w:line="259" w:lineRule="auto"/>
              <w:ind w:left="1416" w:right="0" w:firstLine="0"/>
              <w:jc w:val="left"/>
            </w:pPr>
            <w:r>
              <w:t xml:space="preserve">N=37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Masculino </w:t>
            </w:r>
          </w:p>
        </w:tc>
        <w:tc>
          <w:tcPr>
            <w:tcW w:w="2429" w:type="dxa"/>
            <w:tcBorders>
              <w:top w:val="nil"/>
              <w:left w:val="nil"/>
              <w:bottom w:val="nil"/>
              <w:right w:val="nil"/>
            </w:tcBorders>
          </w:tcPr>
          <w:p w:rsidR="005579F7" w:rsidRDefault="00622165">
            <w:pPr>
              <w:spacing w:after="0" w:line="259" w:lineRule="auto"/>
              <w:ind w:left="0" w:right="131" w:firstLine="0"/>
              <w:jc w:val="right"/>
            </w:pPr>
            <w:r>
              <w:t xml:space="preserve">14 (37,8%)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Feminino </w:t>
            </w:r>
          </w:p>
        </w:tc>
        <w:tc>
          <w:tcPr>
            <w:tcW w:w="2429" w:type="dxa"/>
            <w:tcBorders>
              <w:top w:val="nil"/>
              <w:left w:val="nil"/>
              <w:bottom w:val="nil"/>
              <w:right w:val="nil"/>
            </w:tcBorders>
          </w:tcPr>
          <w:p w:rsidR="005579F7" w:rsidRDefault="00622165">
            <w:pPr>
              <w:spacing w:after="0" w:line="259" w:lineRule="auto"/>
              <w:ind w:left="0" w:right="131" w:firstLine="0"/>
              <w:jc w:val="right"/>
            </w:pPr>
            <w:r>
              <w:t xml:space="preserve">23 (62,2%)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Idade, anos (Mediana – IIQ)</w:t>
            </w:r>
            <w:r>
              <w:t xml:space="preserve"> </w:t>
            </w:r>
          </w:p>
        </w:tc>
        <w:tc>
          <w:tcPr>
            <w:tcW w:w="2429" w:type="dxa"/>
            <w:tcBorders>
              <w:top w:val="nil"/>
              <w:left w:val="nil"/>
              <w:bottom w:val="nil"/>
              <w:right w:val="nil"/>
            </w:tcBorders>
          </w:tcPr>
          <w:p w:rsidR="005579F7" w:rsidRDefault="00622165">
            <w:pPr>
              <w:spacing w:after="0" w:line="259" w:lineRule="auto"/>
              <w:ind w:left="583" w:right="0" w:firstLine="0"/>
              <w:jc w:val="left"/>
            </w:pPr>
            <w:r>
              <w:t xml:space="preserve">54 (37,5 - 62,5) </w:t>
            </w:r>
          </w:p>
        </w:tc>
      </w:tr>
      <w:tr w:rsidR="005579F7">
        <w:trPr>
          <w:trHeight w:val="487"/>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Idade do início dos sintomas, anos  </w:t>
            </w:r>
          </w:p>
        </w:tc>
        <w:tc>
          <w:tcPr>
            <w:tcW w:w="2429" w:type="dxa"/>
            <w:tcBorders>
              <w:top w:val="nil"/>
              <w:left w:val="nil"/>
              <w:bottom w:val="nil"/>
              <w:right w:val="nil"/>
            </w:tcBorders>
          </w:tcPr>
          <w:p w:rsidR="005579F7" w:rsidRDefault="00622165">
            <w:pPr>
              <w:spacing w:after="0" w:line="259" w:lineRule="auto"/>
              <w:ind w:left="0" w:right="149" w:firstLine="0"/>
              <w:jc w:val="right"/>
            </w:pPr>
            <w:r>
              <w:t xml:space="preserve">49 (31,0 – 59,5) </w:t>
            </w:r>
          </w:p>
        </w:tc>
      </w:tr>
      <w:tr w:rsidR="005579F7">
        <w:trPr>
          <w:trHeight w:val="559"/>
        </w:trPr>
        <w:tc>
          <w:tcPr>
            <w:tcW w:w="5617" w:type="dxa"/>
            <w:tcBorders>
              <w:top w:val="nil"/>
              <w:left w:val="nil"/>
              <w:bottom w:val="nil"/>
              <w:right w:val="nil"/>
            </w:tcBorders>
            <w:vAlign w:val="center"/>
          </w:tcPr>
          <w:p w:rsidR="005579F7" w:rsidRDefault="00622165">
            <w:pPr>
              <w:spacing w:after="0" w:line="259" w:lineRule="auto"/>
              <w:ind w:left="0" w:right="0" w:firstLine="0"/>
              <w:jc w:val="left"/>
            </w:pPr>
            <w:r>
              <w:rPr>
                <w:b/>
              </w:rPr>
              <w:t xml:space="preserve">    Idade no diagnóstico, anos  </w:t>
            </w:r>
          </w:p>
        </w:tc>
        <w:tc>
          <w:tcPr>
            <w:tcW w:w="2429" w:type="dxa"/>
            <w:tcBorders>
              <w:top w:val="nil"/>
              <w:left w:val="nil"/>
              <w:bottom w:val="nil"/>
              <w:right w:val="nil"/>
            </w:tcBorders>
            <w:vAlign w:val="center"/>
          </w:tcPr>
          <w:p w:rsidR="005579F7" w:rsidRDefault="00622165">
            <w:pPr>
              <w:spacing w:after="0" w:line="259" w:lineRule="auto"/>
              <w:ind w:left="0" w:right="149" w:firstLine="0"/>
              <w:jc w:val="right"/>
            </w:pPr>
            <w:r>
              <w:t xml:space="preserve">49 (35,5 – 56,5) </w:t>
            </w:r>
          </w:p>
        </w:tc>
      </w:tr>
      <w:tr w:rsidR="005579F7">
        <w:trPr>
          <w:trHeight w:val="487"/>
        </w:trPr>
        <w:tc>
          <w:tcPr>
            <w:tcW w:w="5617" w:type="dxa"/>
            <w:tcBorders>
              <w:top w:val="nil"/>
              <w:left w:val="nil"/>
              <w:bottom w:val="nil"/>
              <w:right w:val="nil"/>
            </w:tcBorders>
          </w:tcPr>
          <w:p w:rsidR="005579F7" w:rsidRDefault="00622165">
            <w:pPr>
              <w:spacing w:after="0" w:line="259" w:lineRule="auto"/>
              <w:ind w:left="0" w:right="0" w:firstLine="0"/>
              <w:jc w:val="left"/>
            </w:pPr>
            <w:r>
              <w:rPr>
                <w:b/>
              </w:rPr>
              <w:t>Grupo étnico, n. (%)</w:t>
            </w:r>
            <w:r>
              <w:t xml:space="preserve"> </w:t>
            </w:r>
          </w:p>
        </w:tc>
        <w:tc>
          <w:tcPr>
            <w:tcW w:w="2429" w:type="dxa"/>
            <w:tcBorders>
              <w:top w:val="nil"/>
              <w:left w:val="nil"/>
              <w:bottom w:val="nil"/>
              <w:right w:val="nil"/>
            </w:tcBorders>
          </w:tcPr>
          <w:p w:rsidR="005579F7" w:rsidRDefault="00622165">
            <w:pPr>
              <w:spacing w:after="0" w:line="259" w:lineRule="auto"/>
              <w:ind w:left="1416" w:right="0" w:firstLine="0"/>
              <w:jc w:val="left"/>
            </w:pPr>
            <w:r>
              <w:t xml:space="preserve">N=37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Branco </w:t>
            </w:r>
          </w:p>
        </w:tc>
        <w:tc>
          <w:tcPr>
            <w:tcW w:w="2429" w:type="dxa"/>
            <w:tcBorders>
              <w:top w:val="nil"/>
              <w:left w:val="nil"/>
              <w:bottom w:val="nil"/>
              <w:right w:val="nil"/>
            </w:tcBorders>
          </w:tcPr>
          <w:p w:rsidR="005579F7" w:rsidRDefault="00622165">
            <w:pPr>
              <w:spacing w:after="0" w:line="259" w:lineRule="auto"/>
              <w:ind w:left="0" w:right="200" w:firstLine="0"/>
              <w:jc w:val="right"/>
            </w:pPr>
            <w:r>
              <w:t xml:space="preserve">6 (16,2%)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Preto </w:t>
            </w:r>
          </w:p>
        </w:tc>
        <w:tc>
          <w:tcPr>
            <w:tcW w:w="2429" w:type="dxa"/>
            <w:tcBorders>
              <w:top w:val="nil"/>
              <w:left w:val="nil"/>
              <w:bottom w:val="nil"/>
              <w:right w:val="nil"/>
            </w:tcBorders>
          </w:tcPr>
          <w:p w:rsidR="005579F7" w:rsidRDefault="00622165">
            <w:pPr>
              <w:spacing w:after="0" w:line="259" w:lineRule="auto"/>
              <w:ind w:left="0" w:right="131" w:firstLine="0"/>
              <w:jc w:val="right"/>
            </w:pPr>
            <w:r>
              <w:t xml:space="preserve">23 (62,2%)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Pardo </w:t>
            </w:r>
          </w:p>
        </w:tc>
        <w:tc>
          <w:tcPr>
            <w:tcW w:w="2429" w:type="dxa"/>
            <w:tcBorders>
              <w:top w:val="nil"/>
              <w:left w:val="nil"/>
              <w:bottom w:val="nil"/>
              <w:right w:val="nil"/>
            </w:tcBorders>
          </w:tcPr>
          <w:p w:rsidR="005579F7" w:rsidRDefault="00622165">
            <w:pPr>
              <w:spacing w:after="0" w:line="259" w:lineRule="auto"/>
              <w:ind w:left="0" w:right="200" w:firstLine="0"/>
              <w:jc w:val="right"/>
            </w:pPr>
            <w:r>
              <w:t xml:space="preserve">8 (21,6%)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Renda familiar, n. (%)</w:t>
            </w:r>
            <w:r>
              <w:t xml:space="preserve"> </w:t>
            </w:r>
          </w:p>
        </w:tc>
        <w:tc>
          <w:tcPr>
            <w:tcW w:w="2429" w:type="dxa"/>
            <w:tcBorders>
              <w:top w:val="nil"/>
              <w:left w:val="nil"/>
              <w:bottom w:val="nil"/>
              <w:right w:val="nil"/>
            </w:tcBorders>
          </w:tcPr>
          <w:p w:rsidR="005579F7" w:rsidRDefault="00622165">
            <w:pPr>
              <w:spacing w:after="0" w:line="259" w:lineRule="auto"/>
              <w:ind w:left="1416" w:right="0" w:firstLine="0"/>
              <w:jc w:val="left"/>
            </w:pPr>
            <w:r>
              <w:t xml:space="preserve">N=37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Não informado </w:t>
            </w:r>
          </w:p>
        </w:tc>
        <w:tc>
          <w:tcPr>
            <w:tcW w:w="2429" w:type="dxa"/>
            <w:tcBorders>
              <w:top w:val="nil"/>
              <w:left w:val="nil"/>
              <w:bottom w:val="nil"/>
              <w:right w:val="nil"/>
            </w:tcBorders>
          </w:tcPr>
          <w:p w:rsidR="005579F7" w:rsidRDefault="00622165">
            <w:pPr>
              <w:spacing w:after="0" w:line="259" w:lineRule="auto"/>
              <w:ind w:left="0" w:right="200" w:firstLine="0"/>
              <w:jc w:val="right"/>
            </w:pPr>
            <w:r>
              <w:t xml:space="preserve">2 (5,71%)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&lt; que 2 salários-mínimos </w:t>
            </w:r>
          </w:p>
        </w:tc>
        <w:tc>
          <w:tcPr>
            <w:tcW w:w="2429" w:type="dxa"/>
            <w:tcBorders>
              <w:top w:val="nil"/>
              <w:left w:val="nil"/>
              <w:bottom w:val="nil"/>
              <w:right w:val="nil"/>
            </w:tcBorders>
          </w:tcPr>
          <w:p w:rsidR="005579F7" w:rsidRDefault="00622165">
            <w:pPr>
              <w:spacing w:after="0" w:line="259" w:lineRule="auto"/>
              <w:ind w:left="0" w:right="131" w:firstLine="0"/>
              <w:jc w:val="right"/>
            </w:pPr>
            <w:r>
              <w:t xml:space="preserve">18 (51,4%)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Entre 2-5 salários-mínimos </w:t>
            </w:r>
          </w:p>
        </w:tc>
        <w:tc>
          <w:tcPr>
            <w:tcW w:w="2429" w:type="dxa"/>
            <w:tcBorders>
              <w:top w:val="nil"/>
              <w:left w:val="nil"/>
              <w:bottom w:val="nil"/>
              <w:right w:val="nil"/>
            </w:tcBorders>
          </w:tcPr>
          <w:p w:rsidR="005579F7" w:rsidRDefault="00622165">
            <w:pPr>
              <w:spacing w:after="0" w:line="259" w:lineRule="auto"/>
              <w:ind w:left="0" w:right="202" w:firstLine="0"/>
              <w:jc w:val="right"/>
            </w:pPr>
            <w:r>
              <w:t xml:space="preserve">7 (20,0%)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Entre 5-10 salários-mínimos </w:t>
            </w:r>
          </w:p>
        </w:tc>
        <w:tc>
          <w:tcPr>
            <w:tcW w:w="2429" w:type="dxa"/>
            <w:tcBorders>
              <w:top w:val="nil"/>
              <w:left w:val="nil"/>
              <w:bottom w:val="nil"/>
              <w:right w:val="nil"/>
            </w:tcBorders>
          </w:tcPr>
          <w:p w:rsidR="005579F7" w:rsidRDefault="00622165">
            <w:pPr>
              <w:spacing w:after="0" w:line="259" w:lineRule="auto"/>
              <w:ind w:left="0" w:right="202" w:firstLine="0"/>
              <w:jc w:val="right"/>
            </w:pPr>
            <w:r>
              <w:t xml:space="preserve">4 (11,4%)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&gt;10 salários-mínimos</w:t>
            </w:r>
            <w:r>
              <w:t xml:space="preserve"> </w:t>
            </w:r>
          </w:p>
        </w:tc>
        <w:tc>
          <w:tcPr>
            <w:tcW w:w="2429" w:type="dxa"/>
            <w:tcBorders>
              <w:top w:val="nil"/>
              <w:left w:val="nil"/>
              <w:bottom w:val="nil"/>
              <w:right w:val="nil"/>
            </w:tcBorders>
          </w:tcPr>
          <w:p w:rsidR="005579F7" w:rsidRDefault="00622165">
            <w:pPr>
              <w:spacing w:after="0" w:line="259" w:lineRule="auto"/>
              <w:ind w:left="0" w:right="202" w:firstLine="0"/>
              <w:jc w:val="right"/>
            </w:pPr>
            <w:r>
              <w:t xml:space="preserve">4 (11,4%)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PROCEDÊNCIA, n. (%) </w:t>
            </w:r>
          </w:p>
        </w:tc>
        <w:tc>
          <w:tcPr>
            <w:tcW w:w="2429" w:type="dxa"/>
            <w:tcBorders>
              <w:top w:val="nil"/>
              <w:left w:val="nil"/>
              <w:bottom w:val="nil"/>
              <w:right w:val="nil"/>
            </w:tcBorders>
          </w:tcPr>
          <w:p w:rsidR="005579F7" w:rsidRDefault="00622165">
            <w:pPr>
              <w:spacing w:after="0" w:line="259" w:lineRule="auto"/>
              <w:ind w:left="1416" w:right="0" w:firstLine="0"/>
              <w:jc w:val="left"/>
            </w:pPr>
            <w:r>
              <w:t xml:space="preserve">N=37 </w:t>
            </w:r>
          </w:p>
        </w:tc>
      </w:tr>
      <w:tr w:rsidR="005579F7">
        <w:trPr>
          <w:trHeight w:val="414"/>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SALVADOR </w:t>
            </w:r>
            <w:r>
              <w:t xml:space="preserve"> </w:t>
            </w:r>
          </w:p>
        </w:tc>
        <w:tc>
          <w:tcPr>
            <w:tcW w:w="2429" w:type="dxa"/>
            <w:tcBorders>
              <w:top w:val="nil"/>
              <w:left w:val="nil"/>
              <w:bottom w:val="nil"/>
              <w:right w:val="nil"/>
            </w:tcBorders>
          </w:tcPr>
          <w:p w:rsidR="005579F7" w:rsidRDefault="00622165">
            <w:pPr>
              <w:spacing w:after="0" w:line="259" w:lineRule="auto"/>
              <w:ind w:left="0" w:right="66" w:firstLine="0"/>
              <w:jc w:val="right"/>
            </w:pPr>
            <w:r>
              <w:t xml:space="preserve">18 (48,64%) </w:t>
            </w:r>
          </w:p>
        </w:tc>
      </w:tr>
      <w:tr w:rsidR="005579F7">
        <w:trPr>
          <w:trHeight w:val="340"/>
        </w:trPr>
        <w:tc>
          <w:tcPr>
            <w:tcW w:w="5617" w:type="dxa"/>
            <w:tcBorders>
              <w:top w:val="nil"/>
              <w:left w:val="nil"/>
              <w:bottom w:val="nil"/>
              <w:right w:val="nil"/>
            </w:tcBorders>
          </w:tcPr>
          <w:p w:rsidR="005579F7" w:rsidRDefault="00622165">
            <w:pPr>
              <w:spacing w:after="0" w:line="259" w:lineRule="auto"/>
              <w:ind w:left="0" w:right="0" w:firstLine="0"/>
              <w:jc w:val="left"/>
            </w:pPr>
            <w:r>
              <w:rPr>
                <w:b/>
              </w:rPr>
              <w:t xml:space="preserve">    INTERIOR DA BAHIA </w:t>
            </w:r>
          </w:p>
        </w:tc>
        <w:tc>
          <w:tcPr>
            <w:tcW w:w="2429" w:type="dxa"/>
            <w:tcBorders>
              <w:top w:val="nil"/>
              <w:left w:val="nil"/>
              <w:bottom w:val="nil"/>
              <w:right w:val="nil"/>
            </w:tcBorders>
          </w:tcPr>
          <w:p w:rsidR="005579F7" w:rsidRDefault="00622165">
            <w:pPr>
              <w:spacing w:after="0" w:line="259" w:lineRule="auto"/>
              <w:ind w:left="0" w:right="66" w:firstLine="0"/>
              <w:jc w:val="right"/>
            </w:pPr>
            <w:r>
              <w:t xml:space="preserve">19 (51,35%) </w:t>
            </w:r>
          </w:p>
        </w:tc>
      </w:tr>
    </w:tbl>
    <w:p w:rsidR="005579F7" w:rsidRDefault="00622165">
      <w:pPr>
        <w:spacing w:after="8" w:line="259" w:lineRule="auto"/>
        <w:ind w:left="-14" w:right="0" w:firstLine="0"/>
        <w:jc w:val="left"/>
      </w:pPr>
      <w:r>
        <w:rPr>
          <w:rFonts w:ascii="Calibri" w:eastAsia="Calibri" w:hAnsi="Calibri" w:cs="Calibri"/>
          <w:noProof/>
          <w:sz w:val="22"/>
        </w:rPr>
        <mc:AlternateContent>
          <mc:Choice Requires="wpg">
            <w:drawing>
              <wp:inline distT="0" distB="0" distL="0" distR="0">
                <wp:extent cx="5511622" cy="6096"/>
                <wp:effectExtent l="0" t="0" r="0" b="0"/>
                <wp:docPr id="32778" name="Group 32778"/>
                <wp:cNvGraphicFramePr/>
                <a:graphic xmlns:a="http://schemas.openxmlformats.org/drawingml/2006/main">
                  <a:graphicData uri="http://schemas.microsoft.com/office/word/2010/wordprocessingGroup">
                    <wpg:wgp>
                      <wpg:cNvGrpSpPr/>
                      <wpg:grpSpPr>
                        <a:xfrm>
                          <a:off x="0" y="0"/>
                          <a:ext cx="5511622" cy="6096"/>
                          <a:chOff x="0" y="0"/>
                          <a:chExt cx="5511622" cy="6096"/>
                        </a:xfrm>
                      </wpg:grpSpPr>
                      <wps:wsp>
                        <wps:cNvPr id="36787" name="Shape 36787"/>
                        <wps:cNvSpPr/>
                        <wps:spPr>
                          <a:xfrm>
                            <a:off x="0" y="0"/>
                            <a:ext cx="3946271" cy="9144"/>
                          </a:xfrm>
                          <a:custGeom>
                            <a:avLst/>
                            <a:gdLst/>
                            <a:ahLst/>
                            <a:cxnLst/>
                            <a:rect l="0" t="0" r="0" b="0"/>
                            <a:pathLst>
                              <a:path w="3946271" h="9144">
                                <a:moveTo>
                                  <a:pt x="0" y="0"/>
                                </a:moveTo>
                                <a:lnTo>
                                  <a:pt x="3946271" y="0"/>
                                </a:lnTo>
                                <a:lnTo>
                                  <a:pt x="394627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88" name="Shape 36788"/>
                        <wps:cNvSpPr/>
                        <wps:spPr>
                          <a:xfrm>
                            <a:off x="39370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89" name="Shape 36789"/>
                        <wps:cNvSpPr/>
                        <wps:spPr>
                          <a:xfrm>
                            <a:off x="3943172" y="0"/>
                            <a:ext cx="1568450" cy="9144"/>
                          </a:xfrm>
                          <a:custGeom>
                            <a:avLst/>
                            <a:gdLst/>
                            <a:ahLst/>
                            <a:cxnLst/>
                            <a:rect l="0" t="0" r="0" b="0"/>
                            <a:pathLst>
                              <a:path w="1568450" h="9144">
                                <a:moveTo>
                                  <a:pt x="0" y="0"/>
                                </a:moveTo>
                                <a:lnTo>
                                  <a:pt x="1568450" y="0"/>
                                </a:lnTo>
                                <a:lnTo>
                                  <a:pt x="156845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2778" style="width:433.986pt;height:0.47998pt;mso-position-horizontal-relative:char;mso-position-vertical-relative:line" coordsize="55116,60">
                <v:shape id="Shape 36790" style="position:absolute;width:39462;height:91;left:0;top:0;" coordsize="3946271,9144" path="m0,0l3946271,0l3946271,9144l0,9144l0,0">
                  <v:stroke weight="0pt" endcap="flat" joinstyle="miter" miterlimit="10" on="false" color="#000000" opacity="0"/>
                  <v:fill on="true" color="#7f7f7f"/>
                </v:shape>
                <v:shape id="Shape 36791" style="position:absolute;width:91;height:91;left:39370;top:0;" coordsize="9144,9144" path="m0,0l9144,0l9144,9144l0,9144l0,0">
                  <v:stroke weight="0pt" endcap="flat" joinstyle="miter" miterlimit="10" on="false" color="#000000" opacity="0"/>
                  <v:fill on="true" color="#7f7f7f"/>
                </v:shape>
                <v:shape id="Shape 36792" style="position:absolute;width:15684;height:91;left:39431;top:0;" coordsize="1568450,9144" path="m0,0l1568450,0l1568450,9144l0,9144l0,0">
                  <v:stroke weight="0pt" endcap="flat" joinstyle="miter" miterlimit="10" on="false" color="#000000" opacity="0"/>
                  <v:fill on="true" color="#7f7f7f"/>
                </v:shape>
              </v:group>
            </w:pict>
          </mc:Fallback>
        </mc:AlternateContent>
      </w:r>
    </w:p>
    <w:p w:rsidR="005579F7" w:rsidRDefault="00622165">
      <w:pPr>
        <w:spacing w:after="115" w:line="259" w:lineRule="auto"/>
        <w:ind w:left="370" w:right="0"/>
      </w:pPr>
      <w:r>
        <w:rPr>
          <w:b/>
        </w:rPr>
        <w:t>Tabela 01.</w:t>
      </w:r>
      <w:r>
        <w:t xml:space="preserve"> Dados demográficos dos 37 pacientes com </w:t>
      </w:r>
      <w:proofErr w:type="spellStart"/>
      <w:r>
        <w:t>ATTRh</w:t>
      </w:r>
      <w:proofErr w:type="spellEnd"/>
      <w:r>
        <w:t xml:space="preserve"> </w:t>
      </w:r>
    </w:p>
    <w:p w:rsidR="005579F7" w:rsidRDefault="00622165">
      <w:pPr>
        <w:spacing w:after="0" w:line="259" w:lineRule="auto"/>
        <w:ind w:left="360" w:right="0" w:firstLine="0"/>
        <w:jc w:val="left"/>
      </w:pPr>
      <w:r>
        <w:t xml:space="preserve"> </w:t>
      </w:r>
    </w:p>
    <w:p w:rsidR="005579F7" w:rsidRDefault="00622165">
      <w:pPr>
        <w:ind w:left="370" w:right="0"/>
      </w:pPr>
      <w:r>
        <w:t>A maioria dos pacientes foram naturais de Salvador, correspondendo a 18 pacientes (52.9%). 10 pacientes (29.4%) foram procedentes de Jânio Quadros, 2 pacientes eram procedentes de Vitória da Conquista (5.8%) e outro estado (5.8%) e 1 paciente era procedent</w:t>
      </w:r>
      <w:r>
        <w:t xml:space="preserve">e de </w:t>
      </w:r>
      <w:proofErr w:type="spellStart"/>
      <w:r>
        <w:t>Jaguarquara</w:t>
      </w:r>
      <w:proofErr w:type="spellEnd"/>
      <w:r>
        <w:t xml:space="preserve"> (2.94%) e Santa Terezinha (2.94%). </w:t>
      </w:r>
    </w:p>
    <w:p w:rsidR="005579F7" w:rsidRDefault="00622165">
      <w:pPr>
        <w:spacing w:after="113" w:line="259" w:lineRule="auto"/>
        <w:ind w:left="370" w:right="0"/>
      </w:pPr>
      <w:r>
        <w:t>Esses dados estão resumidos na Tabela 1</w:t>
      </w:r>
      <w:r>
        <w:rPr>
          <w:rFonts w:ascii="Times New Roman" w:eastAsia="Times New Roman" w:hAnsi="Times New Roman" w:cs="Times New Roman"/>
          <w:vertAlign w:val="subscript"/>
        </w:rPr>
        <w:t xml:space="preserve">. </w:t>
      </w:r>
      <w:r>
        <w:t xml:space="preserve"> </w:t>
      </w:r>
    </w:p>
    <w:p w:rsidR="005579F7" w:rsidRDefault="00622165">
      <w:pPr>
        <w:spacing w:after="117" w:line="259" w:lineRule="auto"/>
        <w:ind w:left="360" w:right="0" w:firstLine="0"/>
        <w:jc w:val="left"/>
      </w:pPr>
      <w:r>
        <w:lastRenderedPageBreak/>
        <w:t xml:space="preserve"> </w:t>
      </w:r>
    </w:p>
    <w:p w:rsidR="005579F7" w:rsidRDefault="00622165">
      <w:pPr>
        <w:pStyle w:val="Ttulo3"/>
        <w:ind w:left="370" w:right="485"/>
      </w:pPr>
      <w:r>
        <w:t xml:space="preserve">Perfil dos pacientes com </w:t>
      </w:r>
      <w:proofErr w:type="spellStart"/>
      <w:r>
        <w:t>Amiloidose</w:t>
      </w:r>
      <w:proofErr w:type="spellEnd"/>
      <w:r>
        <w:t xml:space="preserve"> Hereditária  </w:t>
      </w:r>
    </w:p>
    <w:p w:rsidR="005579F7" w:rsidRDefault="00622165">
      <w:pPr>
        <w:spacing w:after="117" w:line="259" w:lineRule="auto"/>
        <w:ind w:left="360" w:right="0" w:firstLine="0"/>
        <w:jc w:val="left"/>
      </w:pPr>
      <w:r>
        <w:t xml:space="preserve"> </w:t>
      </w:r>
    </w:p>
    <w:p w:rsidR="005579F7" w:rsidRDefault="00622165">
      <w:pPr>
        <w:ind w:left="370" w:right="0"/>
      </w:pPr>
      <w:r>
        <w:t xml:space="preserve">Pacientes com </w:t>
      </w:r>
      <w:proofErr w:type="spellStart"/>
      <w:r>
        <w:t>Amiloidose</w:t>
      </w:r>
      <w:proofErr w:type="spellEnd"/>
      <w:r>
        <w:t xml:space="preserve"> Hereditária mostraram grande envolvimento neurológico periférico e autonômico. Da</w:t>
      </w:r>
      <w:r>
        <w:t xml:space="preserve">dos sistêmicos dos pacientes estão resumidas na Tabela 2.  </w:t>
      </w:r>
    </w:p>
    <w:p w:rsidR="005579F7" w:rsidRDefault="00622165">
      <w:pPr>
        <w:spacing w:after="117" w:line="259" w:lineRule="auto"/>
        <w:ind w:left="360" w:right="0" w:firstLine="0"/>
        <w:jc w:val="left"/>
      </w:pPr>
      <w:r>
        <w:t xml:space="preserve"> </w:t>
      </w:r>
    </w:p>
    <w:p w:rsidR="005579F7" w:rsidRDefault="00622165">
      <w:pPr>
        <w:spacing w:line="259" w:lineRule="auto"/>
        <w:ind w:left="370" w:right="0"/>
      </w:pPr>
      <w:r>
        <w:t xml:space="preserve">Tabela 02. Características da </w:t>
      </w:r>
      <w:proofErr w:type="spellStart"/>
      <w:r>
        <w:t>ATTRv</w:t>
      </w:r>
      <w:proofErr w:type="spellEnd"/>
      <w:r>
        <w:t xml:space="preserve"> </w:t>
      </w:r>
    </w:p>
    <w:p w:rsidR="005579F7" w:rsidRDefault="00622165">
      <w:pPr>
        <w:spacing w:after="8" w:line="259" w:lineRule="auto"/>
        <w:ind w:left="0" w:right="0" w:firstLine="0"/>
        <w:jc w:val="left"/>
      </w:pPr>
      <w:r>
        <w:rPr>
          <w:rFonts w:ascii="Calibri" w:eastAsia="Calibri" w:hAnsi="Calibri" w:cs="Calibri"/>
          <w:noProof/>
          <w:sz w:val="22"/>
        </w:rPr>
        <mc:AlternateContent>
          <mc:Choice Requires="wpg">
            <w:drawing>
              <wp:inline distT="0" distB="0" distL="0" distR="0">
                <wp:extent cx="5502478" cy="6096"/>
                <wp:effectExtent l="0" t="0" r="0" b="0"/>
                <wp:docPr id="31325" name="Group 31325"/>
                <wp:cNvGraphicFramePr/>
                <a:graphic xmlns:a="http://schemas.openxmlformats.org/drawingml/2006/main">
                  <a:graphicData uri="http://schemas.microsoft.com/office/word/2010/wordprocessingGroup">
                    <wpg:wgp>
                      <wpg:cNvGrpSpPr/>
                      <wpg:grpSpPr>
                        <a:xfrm>
                          <a:off x="0" y="0"/>
                          <a:ext cx="5502478" cy="6096"/>
                          <a:chOff x="0" y="0"/>
                          <a:chExt cx="5502478" cy="6096"/>
                        </a:xfrm>
                      </wpg:grpSpPr>
                      <wps:wsp>
                        <wps:cNvPr id="36793" name="Shape 36793"/>
                        <wps:cNvSpPr/>
                        <wps:spPr>
                          <a:xfrm>
                            <a:off x="0" y="0"/>
                            <a:ext cx="3580511" cy="9144"/>
                          </a:xfrm>
                          <a:custGeom>
                            <a:avLst/>
                            <a:gdLst/>
                            <a:ahLst/>
                            <a:cxnLst/>
                            <a:rect l="0" t="0" r="0" b="0"/>
                            <a:pathLst>
                              <a:path w="3580511" h="9144">
                                <a:moveTo>
                                  <a:pt x="0" y="0"/>
                                </a:moveTo>
                                <a:lnTo>
                                  <a:pt x="3580511" y="0"/>
                                </a:lnTo>
                                <a:lnTo>
                                  <a:pt x="358051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94" name="Shape 36794"/>
                        <wps:cNvSpPr/>
                        <wps:spPr>
                          <a:xfrm>
                            <a:off x="35804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795" name="Shape 36795"/>
                        <wps:cNvSpPr/>
                        <wps:spPr>
                          <a:xfrm>
                            <a:off x="3586556"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1325" style="width:433.266pt;height:0.480011pt;mso-position-horizontal-relative:char;mso-position-vertical-relative:line" coordsize="55024,60">
                <v:shape id="Shape 36796" style="position:absolute;width:35805;height:91;left:0;top:0;" coordsize="3580511,9144" path="m0,0l3580511,0l3580511,9144l0,9144l0,0">
                  <v:stroke weight="0pt" endcap="flat" joinstyle="miter" miterlimit="10" on="false" color="#000000" opacity="0"/>
                  <v:fill on="true" color="#7f7f7f"/>
                </v:shape>
                <v:shape id="Shape 36797" style="position:absolute;width:91;height:91;left:35804;top:0;" coordsize="9144,9144" path="m0,0l9144,0l9144,9144l0,9144l0,0">
                  <v:stroke weight="0pt" endcap="flat" joinstyle="miter" miterlimit="10" on="false" color="#000000" opacity="0"/>
                  <v:fill on="true" color="#7f7f7f"/>
                </v:shape>
                <v:shape id="Shape 36798" style="position:absolute;width:19159;height:91;left:35865;top:0;" coordsize="1915922,9144" path="m0,0l1915922,0l1915922,9144l0,9144l0,0">
                  <v:stroke weight="0pt" endcap="flat" joinstyle="miter" miterlimit="10" on="false" color="#000000" opacity="0"/>
                  <v:fill on="true" color="#7f7f7f"/>
                </v:shape>
              </v:group>
            </w:pict>
          </mc:Fallback>
        </mc:AlternateContent>
      </w:r>
    </w:p>
    <w:p w:rsidR="005579F7" w:rsidRDefault="00622165">
      <w:pPr>
        <w:spacing w:after="125" w:line="259" w:lineRule="auto"/>
        <w:ind w:left="961" w:right="0" w:firstLine="0"/>
        <w:jc w:val="center"/>
      </w:pPr>
      <w:r>
        <w:t xml:space="preserve"> </w:t>
      </w:r>
      <w:r>
        <w:tab/>
      </w:r>
      <w:r>
        <w:rPr>
          <w:b/>
        </w:rPr>
        <w:t xml:space="preserve"> </w:t>
      </w:r>
    </w:p>
    <w:p w:rsidR="005579F7" w:rsidRDefault="00622165">
      <w:pPr>
        <w:spacing w:after="0" w:line="259" w:lineRule="auto"/>
        <w:ind w:left="1373" w:right="485"/>
        <w:jc w:val="left"/>
      </w:pPr>
      <w:r>
        <w:rPr>
          <w:b/>
        </w:rPr>
        <w:t xml:space="preserve">Características da </w:t>
      </w:r>
      <w:proofErr w:type="spellStart"/>
      <w:r>
        <w:rPr>
          <w:b/>
        </w:rPr>
        <w:t>ATTRv</w:t>
      </w:r>
      <w:proofErr w:type="spellEnd"/>
      <w:r>
        <w:t xml:space="preserve"> </w:t>
      </w:r>
      <w:r>
        <w:tab/>
        <w:t>Frequências n. (%)</w:t>
      </w:r>
      <w:r>
        <w:rPr>
          <w:b/>
        </w:rPr>
        <w:t xml:space="preserve"> Pacientes sintomáticos </w:t>
      </w:r>
      <w:r>
        <w:rPr>
          <w:b/>
        </w:rPr>
        <w:tab/>
      </w:r>
      <w:r>
        <w:t xml:space="preserve">26 (74,3%) </w:t>
      </w:r>
    </w:p>
    <w:p w:rsidR="005579F7" w:rsidRDefault="00622165">
      <w:pPr>
        <w:spacing w:after="0" w:line="259" w:lineRule="auto"/>
        <w:ind w:left="5295" w:right="0" w:firstLine="0"/>
        <w:jc w:val="center"/>
      </w:pPr>
      <w:r>
        <w:t xml:space="preserve"> </w:t>
      </w:r>
    </w:p>
    <w:p w:rsidR="005579F7" w:rsidRDefault="00622165">
      <w:pPr>
        <w:spacing w:after="119" w:line="259" w:lineRule="auto"/>
        <w:ind w:left="118" w:right="485"/>
        <w:jc w:val="left"/>
      </w:pPr>
      <w:r>
        <w:rPr>
          <w:b/>
        </w:rPr>
        <w:t xml:space="preserve">Estágio PND: </w:t>
      </w:r>
    </w:p>
    <w:p w:rsidR="005579F7" w:rsidRDefault="00622165">
      <w:pPr>
        <w:pStyle w:val="Ttulo3"/>
        <w:tabs>
          <w:tab w:val="center" w:pos="7153"/>
        </w:tabs>
        <w:ind w:left="0" w:right="0" w:firstLine="0"/>
      </w:pPr>
      <w:r>
        <w:t xml:space="preserve"> Assintomático </w:t>
      </w:r>
      <w:r>
        <w:tab/>
      </w:r>
      <w:r>
        <w:rPr>
          <w:b w:val="0"/>
        </w:rPr>
        <w:t xml:space="preserve">9 (25,7%) </w:t>
      </w:r>
    </w:p>
    <w:p w:rsidR="005579F7" w:rsidRDefault="00622165">
      <w:pPr>
        <w:tabs>
          <w:tab w:val="center" w:pos="7153"/>
        </w:tabs>
        <w:spacing w:after="123" w:line="259" w:lineRule="auto"/>
        <w:ind w:left="0" w:right="0" w:firstLine="0"/>
        <w:jc w:val="left"/>
      </w:pPr>
      <w:r>
        <w:rPr>
          <w:b/>
        </w:rPr>
        <w:t xml:space="preserve">   PND I </w:t>
      </w:r>
      <w:r>
        <w:rPr>
          <w:b/>
        </w:rPr>
        <w:tab/>
      </w:r>
      <w:r>
        <w:t xml:space="preserve">20 (57,1%) </w:t>
      </w:r>
    </w:p>
    <w:p w:rsidR="005579F7" w:rsidRDefault="00622165">
      <w:pPr>
        <w:tabs>
          <w:tab w:val="center" w:pos="7153"/>
        </w:tabs>
        <w:spacing w:after="125" w:line="259" w:lineRule="auto"/>
        <w:ind w:left="0" w:right="0" w:firstLine="0"/>
        <w:jc w:val="left"/>
      </w:pPr>
      <w:r>
        <w:rPr>
          <w:b/>
        </w:rPr>
        <w:t xml:space="preserve">   </w:t>
      </w:r>
      <w:r>
        <w:rPr>
          <w:b/>
        </w:rPr>
        <w:t xml:space="preserve">PND </w:t>
      </w:r>
      <w:proofErr w:type="gramStart"/>
      <w:r>
        <w:rPr>
          <w:b/>
        </w:rPr>
        <w:t xml:space="preserve">II  </w:t>
      </w:r>
      <w:r>
        <w:rPr>
          <w:b/>
        </w:rPr>
        <w:tab/>
      </w:r>
      <w:proofErr w:type="gramEnd"/>
      <w:r>
        <w:t xml:space="preserve">4 (11,4%) </w:t>
      </w:r>
    </w:p>
    <w:p w:rsidR="005579F7" w:rsidRDefault="00622165">
      <w:pPr>
        <w:tabs>
          <w:tab w:val="center" w:pos="7153"/>
        </w:tabs>
        <w:spacing w:after="123" w:line="259" w:lineRule="auto"/>
        <w:ind w:left="0" w:right="0" w:firstLine="0"/>
        <w:jc w:val="left"/>
      </w:pPr>
      <w:r>
        <w:rPr>
          <w:b/>
        </w:rPr>
        <w:t xml:space="preserve">   PND III </w:t>
      </w:r>
      <w:r>
        <w:rPr>
          <w:b/>
        </w:rPr>
        <w:tab/>
      </w:r>
      <w:r>
        <w:t xml:space="preserve">2 (5,71%) </w:t>
      </w:r>
    </w:p>
    <w:p w:rsidR="005579F7" w:rsidRDefault="00622165">
      <w:pPr>
        <w:spacing w:after="119" w:line="259" w:lineRule="auto"/>
        <w:ind w:left="118" w:right="485"/>
        <w:jc w:val="left"/>
      </w:pPr>
      <w:r>
        <w:rPr>
          <w:b/>
        </w:rPr>
        <w:t xml:space="preserve">Transplante hepático:  </w:t>
      </w:r>
      <w:r>
        <w:rPr>
          <w:b/>
        </w:rPr>
        <w:tab/>
      </w:r>
      <w:r>
        <w:t xml:space="preserve">         2 (5,71</w:t>
      </w:r>
      <w:proofErr w:type="gramStart"/>
      <w:r>
        <w:t xml:space="preserve">%) </w:t>
      </w:r>
      <w:r>
        <w:rPr>
          <w:b/>
        </w:rPr>
        <w:t xml:space="preserve"> Uso</w:t>
      </w:r>
      <w:proofErr w:type="gramEnd"/>
      <w:r>
        <w:rPr>
          <w:b/>
        </w:rPr>
        <w:t xml:space="preserve"> de medicação      Sem medicação  </w:t>
      </w:r>
      <w:r>
        <w:rPr>
          <w:b/>
        </w:rPr>
        <w:tab/>
      </w:r>
      <w:r>
        <w:t xml:space="preserve">13 (37,1%) </w:t>
      </w:r>
    </w:p>
    <w:p w:rsidR="005579F7" w:rsidRDefault="00622165">
      <w:pPr>
        <w:spacing w:after="0" w:line="259" w:lineRule="auto"/>
        <w:ind w:left="2483" w:right="0" w:firstLine="0"/>
        <w:jc w:val="center"/>
      </w:pPr>
      <w:r>
        <w:t xml:space="preserve"> </w:t>
      </w:r>
    </w:p>
    <w:p w:rsidR="005579F7" w:rsidRDefault="00622165">
      <w:pPr>
        <w:tabs>
          <w:tab w:val="center" w:pos="7153"/>
        </w:tabs>
        <w:spacing w:after="123" w:line="259" w:lineRule="auto"/>
        <w:ind w:left="0" w:right="0" w:firstLine="0"/>
        <w:jc w:val="left"/>
      </w:pPr>
      <w:r>
        <w:rPr>
          <w:b/>
        </w:rPr>
        <w:t xml:space="preserve">    </w:t>
      </w:r>
      <w:proofErr w:type="spellStart"/>
      <w:r>
        <w:rPr>
          <w:b/>
        </w:rPr>
        <w:t>Tafamidis</w:t>
      </w:r>
      <w:proofErr w:type="spellEnd"/>
      <w:r>
        <w:rPr>
          <w:b/>
        </w:rPr>
        <w:t xml:space="preserve"> </w:t>
      </w:r>
      <w:r>
        <w:rPr>
          <w:b/>
        </w:rPr>
        <w:tab/>
      </w:r>
      <w:r>
        <w:t xml:space="preserve">16 (45,7%) </w:t>
      </w:r>
    </w:p>
    <w:p w:rsidR="005579F7" w:rsidRDefault="00622165">
      <w:pPr>
        <w:pStyle w:val="Ttulo3"/>
        <w:spacing w:after="0"/>
        <w:ind w:left="118" w:right="485"/>
      </w:pPr>
      <w:r>
        <w:t xml:space="preserve"> </w:t>
      </w:r>
      <w:proofErr w:type="spellStart"/>
      <w:r>
        <w:t>Patisirana</w:t>
      </w:r>
      <w:proofErr w:type="spellEnd"/>
      <w:r>
        <w:t xml:space="preserve"> </w:t>
      </w:r>
      <w:r>
        <w:tab/>
      </w:r>
      <w:r>
        <w:rPr>
          <w:b w:val="0"/>
        </w:rPr>
        <w:t>4 (11,4</w:t>
      </w:r>
      <w:proofErr w:type="gramStart"/>
      <w:r>
        <w:rPr>
          <w:b w:val="0"/>
        </w:rPr>
        <w:t xml:space="preserve">%) </w:t>
      </w:r>
      <w:r>
        <w:t xml:space="preserve"> </w:t>
      </w:r>
      <w:proofErr w:type="spellStart"/>
      <w:r>
        <w:t>Inotersena</w:t>
      </w:r>
      <w:proofErr w:type="spellEnd"/>
      <w:proofErr w:type="gramEnd"/>
      <w:r>
        <w:t xml:space="preserve"> </w:t>
      </w:r>
      <w:r>
        <w:tab/>
      </w:r>
      <w:r>
        <w:rPr>
          <w:b w:val="0"/>
        </w:rPr>
        <w:t xml:space="preserve">2 (5,71%) </w:t>
      </w:r>
      <w:r>
        <w:t xml:space="preserve">Histórico de Síndrome do Túnel do Carpo  </w:t>
      </w:r>
      <w:r>
        <w:tab/>
      </w:r>
      <w:r>
        <w:rPr>
          <w:b w:val="0"/>
        </w:rPr>
        <w:t xml:space="preserve">20 (57,1%) </w:t>
      </w:r>
      <w:r>
        <w:t xml:space="preserve">Sintomas sistêmicos  Neuropatia autonômica </w:t>
      </w:r>
      <w:r>
        <w:tab/>
      </w:r>
      <w:r>
        <w:rPr>
          <w:b w:val="0"/>
        </w:rPr>
        <w:t xml:space="preserve">23 (65,7%) </w:t>
      </w:r>
      <w:r>
        <w:t xml:space="preserve"> Cardiomiopatia </w:t>
      </w:r>
      <w:r>
        <w:tab/>
      </w:r>
      <w:r>
        <w:rPr>
          <w:b w:val="0"/>
        </w:rPr>
        <w:t xml:space="preserve">4 (11,4%) </w:t>
      </w:r>
      <w:r>
        <w:t xml:space="preserve">    Doença Renal Crônica </w:t>
      </w:r>
      <w:r>
        <w:tab/>
      </w:r>
      <w:r>
        <w:rPr>
          <w:b w:val="0"/>
        </w:rPr>
        <w:t xml:space="preserve">3 (8,57%) </w:t>
      </w:r>
      <w:r>
        <w:t xml:space="preserve">Primeiro sintoma, n. (%) </w:t>
      </w:r>
      <w:r>
        <w:tab/>
      </w:r>
      <w:r>
        <w:rPr>
          <w:b w:val="0"/>
        </w:rPr>
        <w:t xml:space="preserve">           N=24 </w:t>
      </w:r>
    </w:p>
    <w:p w:rsidR="005579F7" w:rsidRDefault="00622165">
      <w:pPr>
        <w:spacing w:after="0" w:line="259" w:lineRule="auto"/>
        <w:ind w:left="5295" w:right="0" w:firstLine="0"/>
        <w:jc w:val="center"/>
      </w:pPr>
      <w:r>
        <w:t xml:space="preserve"> </w:t>
      </w:r>
    </w:p>
    <w:p w:rsidR="005579F7" w:rsidRDefault="00622165">
      <w:pPr>
        <w:spacing w:after="0" w:line="259" w:lineRule="auto"/>
        <w:ind w:left="-14" w:right="0" w:firstLine="0"/>
        <w:jc w:val="left"/>
      </w:pPr>
      <w:r>
        <w:rPr>
          <w:rFonts w:ascii="Calibri" w:eastAsia="Calibri" w:hAnsi="Calibri" w:cs="Calibri"/>
          <w:noProof/>
          <w:sz w:val="22"/>
        </w:rPr>
        <mc:AlternateContent>
          <mc:Choice Requires="wpg">
            <w:drawing>
              <wp:inline distT="0" distB="0" distL="0" distR="0">
                <wp:extent cx="5511622" cy="6097"/>
                <wp:effectExtent l="0" t="0" r="0" b="0"/>
                <wp:docPr id="31326" name="Group 31326"/>
                <wp:cNvGraphicFramePr/>
                <a:graphic xmlns:a="http://schemas.openxmlformats.org/drawingml/2006/main">
                  <a:graphicData uri="http://schemas.microsoft.com/office/word/2010/wordprocessingGroup">
                    <wpg:wgp>
                      <wpg:cNvGrpSpPr/>
                      <wpg:grpSpPr>
                        <a:xfrm>
                          <a:off x="0" y="0"/>
                          <a:ext cx="5511622" cy="6097"/>
                          <a:chOff x="0" y="0"/>
                          <a:chExt cx="5511622" cy="6097"/>
                        </a:xfrm>
                      </wpg:grpSpPr>
                      <wps:wsp>
                        <wps:cNvPr id="36799" name="Shape 36799"/>
                        <wps:cNvSpPr/>
                        <wps:spPr>
                          <a:xfrm>
                            <a:off x="0" y="0"/>
                            <a:ext cx="3589655" cy="9144"/>
                          </a:xfrm>
                          <a:custGeom>
                            <a:avLst/>
                            <a:gdLst/>
                            <a:ahLst/>
                            <a:cxnLst/>
                            <a:rect l="0" t="0" r="0" b="0"/>
                            <a:pathLst>
                              <a:path w="3589655" h="9144">
                                <a:moveTo>
                                  <a:pt x="0" y="0"/>
                                </a:moveTo>
                                <a:lnTo>
                                  <a:pt x="3589655" y="0"/>
                                </a:lnTo>
                                <a:lnTo>
                                  <a:pt x="358965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00" name="Shape 36800"/>
                        <wps:cNvSpPr/>
                        <wps:spPr>
                          <a:xfrm>
                            <a:off x="35804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01" name="Shape 36801"/>
                        <wps:cNvSpPr/>
                        <wps:spPr>
                          <a:xfrm>
                            <a:off x="3586556" y="0"/>
                            <a:ext cx="1925066" cy="9144"/>
                          </a:xfrm>
                          <a:custGeom>
                            <a:avLst/>
                            <a:gdLst/>
                            <a:ahLst/>
                            <a:cxnLst/>
                            <a:rect l="0" t="0" r="0" b="0"/>
                            <a:pathLst>
                              <a:path w="1925066" h="9144">
                                <a:moveTo>
                                  <a:pt x="0" y="0"/>
                                </a:moveTo>
                                <a:lnTo>
                                  <a:pt x="1925066" y="0"/>
                                </a:lnTo>
                                <a:lnTo>
                                  <a:pt x="192506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1326" style="width:433.986pt;height:0.480042pt;mso-position-horizontal-relative:char;mso-position-vertical-relative:line" coordsize="55116,60">
                <v:shape id="Shape 36802" style="position:absolute;width:35896;height:91;left:0;top:0;" coordsize="3589655,9144" path="m0,0l3589655,0l3589655,9144l0,9144l0,0">
                  <v:stroke weight="0pt" endcap="flat" joinstyle="miter" miterlimit="10" on="false" color="#000000" opacity="0"/>
                  <v:fill on="true" color="#7f7f7f"/>
                </v:shape>
                <v:shape id="Shape 36803" style="position:absolute;width:91;height:91;left:35804;top:0;" coordsize="9144,9144" path="m0,0l9144,0l9144,9144l0,9144l0,0">
                  <v:stroke weight="0pt" endcap="flat" joinstyle="miter" miterlimit="10" on="false" color="#000000" opacity="0"/>
                  <v:fill on="true" color="#7f7f7f"/>
                </v:shape>
                <v:shape id="Shape 36804" style="position:absolute;width:19250;height:91;left:35865;top:0;" coordsize="1925066,9144" path="m0,0l1925066,0l1925066,9144l0,9144l0,0">
                  <v:stroke weight="0pt" endcap="flat" joinstyle="miter" miterlimit="10" on="false" color="#000000" opacity="0"/>
                  <v:fill on="true" color="#7f7f7f"/>
                </v:shape>
              </v:group>
            </w:pict>
          </mc:Fallback>
        </mc:AlternateContent>
      </w:r>
    </w:p>
    <w:p w:rsidR="005579F7" w:rsidRDefault="00622165">
      <w:pPr>
        <w:spacing w:after="9" w:line="259" w:lineRule="auto"/>
        <w:ind w:left="0" w:right="0" w:firstLine="0"/>
        <w:jc w:val="left"/>
      </w:pPr>
      <w:r>
        <w:rPr>
          <w:rFonts w:ascii="Calibri" w:eastAsia="Calibri" w:hAnsi="Calibri" w:cs="Calibri"/>
          <w:noProof/>
          <w:sz w:val="22"/>
        </w:rPr>
        <mc:AlternateContent>
          <mc:Choice Requires="wpg">
            <w:drawing>
              <wp:inline distT="0" distB="0" distL="0" distR="0">
                <wp:extent cx="5502478" cy="6096"/>
                <wp:effectExtent l="0" t="0" r="0" b="0"/>
                <wp:docPr id="31586" name="Group 31586"/>
                <wp:cNvGraphicFramePr/>
                <a:graphic xmlns:a="http://schemas.openxmlformats.org/drawingml/2006/main">
                  <a:graphicData uri="http://schemas.microsoft.com/office/word/2010/wordprocessingGroup">
                    <wpg:wgp>
                      <wpg:cNvGrpSpPr/>
                      <wpg:grpSpPr>
                        <a:xfrm>
                          <a:off x="0" y="0"/>
                          <a:ext cx="5502478" cy="6096"/>
                          <a:chOff x="0" y="0"/>
                          <a:chExt cx="5502478" cy="6096"/>
                        </a:xfrm>
                      </wpg:grpSpPr>
                      <wps:wsp>
                        <wps:cNvPr id="36805" name="Shape 36805"/>
                        <wps:cNvSpPr/>
                        <wps:spPr>
                          <a:xfrm>
                            <a:off x="0" y="0"/>
                            <a:ext cx="3580511" cy="9144"/>
                          </a:xfrm>
                          <a:custGeom>
                            <a:avLst/>
                            <a:gdLst/>
                            <a:ahLst/>
                            <a:cxnLst/>
                            <a:rect l="0" t="0" r="0" b="0"/>
                            <a:pathLst>
                              <a:path w="3580511" h="9144">
                                <a:moveTo>
                                  <a:pt x="0" y="0"/>
                                </a:moveTo>
                                <a:lnTo>
                                  <a:pt x="3580511" y="0"/>
                                </a:lnTo>
                                <a:lnTo>
                                  <a:pt x="358051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06" name="Shape 36806"/>
                        <wps:cNvSpPr/>
                        <wps:spPr>
                          <a:xfrm>
                            <a:off x="35804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07" name="Shape 36807"/>
                        <wps:cNvSpPr/>
                        <wps:spPr>
                          <a:xfrm>
                            <a:off x="3586556" y="0"/>
                            <a:ext cx="1915922" cy="9144"/>
                          </a:xfrm>
                          <a:custGeom>
                            <a:avLst/>
                            <a:gdLst/>
                            <a:ahLst/>
                            <a:cxnLst/>
                            <a:rect l="0" t="0" r="0" b="0"/>
                            <a:pathLst>
                              <a:path w="1915922" h="9144">
                                <a:moveTo>
                                  <a:pt x="0" y="0"/>
                                </a:moveTo>
                                <a:lnTo>
                                  <a:pt x="1915922" y="0"/>
                                </a:lnTo>
                                <a:lnTo>
                                  <a:pt x="191592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1586" style="width:433.266pt;height:0.47998pt;mso-position-horizontal-relative:char;mso-position-vertical-relative:line" coordsize="55024,60">
                <v:shape id="Shape 36808" style="position:absolute;width:35805;height:91;left:0;top:0;" coordsize="3580511,9144" path="m0,0l3580511,0l3580511,9144l0,9144l0,0">
                  <v:stroke weight="0pt" endcap="flat" joinstyle="miter" miterlimit="10" on="false" color="#000000" opacity="0"/>
                  <v:fill on="true" color="#7f7f7f"/>
                </v:shape>
                <v:shape id="Shape 36809" style="position:absolute;width:91;height:91;left:35804;top:0;" coordsize="9144,9144" path="m0,0l9144,0l9144,9144l0,9144l0,0">
                  <v:stroke weight="0pt" endcap="flat" joinstyle="miter" miterlimit="10" on="false" color="#000000" opacity="0"/>
                  <v:fill on="true" color="#7f7f7f"/>
                </v:shape>
                <v:shape id="Shape 36810" style="position:absolute;width:19159;height:91;left:35865;top:0;" coordsize="1915922,9144" path="m0,0l1915922,0l1915922,9144l0,9144l0,0">
                  <v:stroke weight="0pt" endcap="flat" joinstyle="miter" miterlimit="10" on="false" color="#000000" opacity="0"/>
                  <v:fill on="true" color="#7f7f7f"/>
                </v:shape>
              </v:group>
            </w:pict>
          </mc:Fallback>
        </mc:AlternateContent>
      </w:r>
    </w:p>
    <w:tbl>
      <w:tblPr>
        <w:tblStyle w:val="TableGrid"/>
        <w:tblW w:w="7755" w:type="dxa"/>
        <w:tblInd w:w="108" w:type="dxa"/>
        <w:tblCellMar>
          <w:top w:w="0" w:type="dxa"/>
          <w:left w:w="0" w:type="dxa"/>
          <w:bottom w:w="0" w:type="dxa"/>
          <w:right w:w="0" w:type="dxa"/>
        </w:tblCellMar>
        <w:tblLook w:val="04A0" w:firstRow="1" w:lastRow="0" w:firstColumn="1" w:lastColumn="0" w:noHBand="0" w:noVBand="1"/>
      </w:tblPr>
      <w:tblGrid>
        <w:gridCol w:w="6401"/>
        <w:gridCol w:w="1354"/>
      </w:tblGrid>
      <w:tr w:rsidR="005579F7">
        <w:trPr>
          <w:trHeight w:val="340"/>
        </w:trPr>
        <w:tc>
          <w:tcPr>
            <w:tcW w:w="6402" w:type="dxa"/>
            <w:tcBorders>
              <w:top w:val="nil"/>
              <w:left w:val="nil"/>
              <w:bottom w:val="nil"/>
              <w:right w:val="nil"/>
            </w:tcBorders>
          </w:tcPr>
          <w:p w:rsidR="005579F7" w:rsidRDefault="00622165">
            <w:pPr>
              <w:spacing w:after="0" w:line="259" w:lineRule="auto"/>
              <w:ind w:left="0" w:right="0" w:firstLine="0"/>
              <w:jc w:val="left"/>
            </w:pPr>
            <w:r>
              <w:rPr>
                <w:b/>
              </w:rPr>
              <w:t xml:space="preserve">    Neuropatia sensitiva </w:t>
            </w:r>
          </w:p>
        </w:tc>
        <w:tc>
          <w:tcPr>
            <w:tcW w:w="1354" w:type="dxa"/>
            <w:tcBorders>
              <w:top w:val="nil"/>
              <w:left w:val="nil"/>
              <w:bottom w:val="nil"/>
              <w:right w:val="nil"/>
            </w:tcBorders>
          </w:tcPr>
          <w:p w:rsidR="005579F7" w:rsidRDefault="00622165">
            <w:pPr>
              <w:spacing w:after="0" w:line="259" w:lineRule="auto"/>
              <w:ind w:left="0" w:right="0" w:firstLine="0"/>
            </w:pPr>
            <w:r>
              <w:t xml:space="preserve">N=22 (91%) </w:t>
            </w:r>
          </w:p>
        </w:tc>
      </w:tr>
      <w:tr w:rsidR="005579F7">
        <w:trPr>
          <w:trHeight w:val="414"/>
        </w:trPr>
        <w:tc>
          <w:tcPr>
            <w:tcW w:w="6402" w:type="dxa"/>
            <w:tcBorders>
              <w:top w:val="nil"/>
              <w:left w:val="nil"/>
              <w:bottom w:val="nil"/>
              <w:right w:val="nil"/>
            </w:tcBorders>
          </w:tcPr>
          <w:p w:rsidR="005579F7" w:rsidRDefault="00622165">
            <w:pPr>
              <w:spacing w:after="0" w:line="259" w:lineRule="auto"/>
              <w:ind w:left="0" w:right="0" w:firstLine="0"/>
              <w:jc w:val="left"/>
            </w:pPr>
            <w:r>
              <w:rPr>
                <w:b/>
              </w:rPr>
              <w:t xml:space="preserve">    Neuropatia autonômica </w:t>
            </w:r>
          </w:p>
        </w:tc>
        <w:tc>
          <w:tcPr>
            <w:tcW w:w="1354" w:type="dxa"/>
            <w:tcBorders>
              <w:top w:val="nil"/>
              <w:left w:val="nil"/>
              <w:bottom w:val="nil"/>
              <w:right w:val="nil"/>
            </w:tcBorders>
          </w:tcPr>
          <w:p w:rsidR="005579F7" w:rsidRDefault="00622165">
            <w:pPr>
              <w:spacing w:after="0" w:line="259" w:lineRule="auto"/>
              <w:ind w:left="132" w:right="0" w:firstLine="0"/>
              <w:jc w:val="left"/>
            </w:pPr>
            <w:r>
              <w:t xml:space="preserve">N=2 (9%) </w:t>
            </w:r>
          </w:p>
        </w:tc>
      </w:tr>
      <w:tr w:rsidR="005579F7">
        <w:trPr>
          <w:trHeight w:val="414"/>
        </w:trPr>
        <w:tc>
          <w:tcPr>
            <w:tcW w:w="6402" w:type="dxa"/>
            <w:tcBorders>
              <w:top w:val="nil"/>
              <w:left w:val="nil"/>
              <w:bottom w:val="nil"/>
              <w:right w:val="nil"/>
            </w:tcBorders>
          </w:tcPr>
          <w:p w:rsidR="005579F7" w:rsidRDefault="00622165">
            <w:pPr>
              <w:spacing w:after="0" w:line="259" w:lineRule="auto"/>
              <w:ind w:left="0" w:right="0" w:firstLine="0"/>
              <w:jc w:val="left"/>
            </w:pPr>
            <w:r>
              <w:rPr>
                <w:b/>
              </w:rPr>
              <w:t xml:space="preserve">Tipo de mutação, n. (%) </w:t>
            </w:r>
          </w:p>
        </w:tc>
        <w:tc>
          <w:tcPr>
            <w:tcW w:w="1354" w:type="dxa"/>
            <w:tcBorders>
              <w:top w:val="nil"/>
              <w:left w:val="nil"/>
              <w:bottom w:val="nil"/>
              <w:right w:val="nil"/>
            </w:tcBorders>
          </w:tcPr>
          <w:p w:rsidR="005579F7" w:rsidRDefault="00622165">
            <w:pPr>
              <w:spacing w:after="0" w:line="259" w:lineRule="auto"/>
              <w:ind w:left="0" w:right="68" w:firstLine="0"/>
              <w:jc w:val="center"/>
            </w:pPr>
            <w:r>
              <w:t xml:space="preserve">N=37 </w:t>
            </w:r>
          </w:p>
        </w:tc>
      </w:tr>
      <w:tr w:rsidR="005579F7">
        <w:trPr>
          <w:trHeight w:val="414"/>
        </w:trPr>
        <w:tc>
          <w:tcPr>
            <w:tcW w:w="6402" w:type="dxa"/>
            <w:tcBorders>
              <w:top w:val="nil"/>
              <w:left w:val="nil"/>
              <w:bottom w:val="nil"/>
              <w:right w:val="nil"/>
            </w:tcBorders>
          </w:tcPr>
          <w:p w:rsidR="005579F7" w:rsidRDefault="00622165">
            <w:pPr>
              <w:spacing w:after="0" w:line="259" w:lineRule="auto"/>
              <w:ind w:left="0" w:right="0" w:firstLine="0"/>
              <w:jc w:val="left"/>
            </w:pPr>
            <w:r>
              <w:rPr>
                <w:b/>
              </w:rPr>
              <w:t xml:space="preserve">    Val30Met </w:t>
            </w:r>
          </w:p>
        </w:tc>
        <w:tc>
          <w:tcPr>
            <w:tcW w:w="1354" w:type="dxa"/>
            <w:tcBorders>
              <w:top w:val="nil"/>
              <w:left w:val="nil"/>
              <w:bottom w:val="nil"/>
              <w:right w:val="nil"/>
            </w:tcBorders>
          </w:tcPr>
          <w:p w:rsidR="005579F7" w:rsidRDefault="00622165">
            <w:pPr>
              <w:spacing w:after="0" w:line="259" w:lineRule="auto"/>
              <w:ind w:left="55" w:right="0" w:firstLine="0"/>
            </w:pPr>
            <w:r>
              <w:t xml:space="preserve">18 (48,6%) </w:t>
            </w:r>
          </w:p>
        </w:tc>
      </w:tr>
      <w:tr w:rsidR="005579F7">
        <w:trPr>
          <w:trHeight w:val="414"/>
        </w:trPr>
        <w:tc>
          <w:tcPr>
            <w:tcW w:w="6402" w:type="dxa"/>
            <w:tcBorders>
              <w:top w:val="nil"/>
              <w:left w:val="nil"/>
              <w:bottom w:val="nil"/>
              <w:right w:val="nil"/>
            </w:tcBorders>
          </w:tcPr>
          <w:p w:rsidR="005579F7" w:rsidRDefault="00622165">
            <w:pPr>
              <w:spacing w:after="0" w:line="259" w:lineRule="auto"/>
              <w:ind w:left="0" w:right="0" w:firstLine="0"/>
              <w:jc w:val="left"/>
            </w:pPr>
            <w:r>
              <w:rPr>
                <w:b/>
              </w:rPr>
              <w:t xml:space="preserve">    Ile127Val  </w:t>
            </w:r>
          </w:p>
        </w:tc>
        <w:tc>
          <w:tcPr>
            <w:tcW w:w="1354" w:type="dxa"/>
            <w:tcBorders>
              <w:top w:val="nil"/>
              <w:left w:val="nil"/>
              <w:bottom w:val="nil"/>
              <w:right w:val="nil"/>
            </w:tcBorders>
          </w:tcPr>
          <w:p w:rsidR="005579F7" w:rsidRDefault="00622165">
            <w:pPr>
              <w:spacing w:after="0" w:line="259" w:lineRule="auto"/>
              <w:ind w:left="89" w:right="0" w:firstLine="0"/>
            </w:pPr>
            <w:r>
              <w:t xml:space="preserve">14(38,9%) </w:t>
            </w:r>
          </w:p>
        </w:tc>
      </w:tr>
      <w:tr w:rsidR="005579F7">
        <w:trPr>
          <w:trHeight w:val="414"/>
        </w:trPr>
        <w:tc>
          <w:tcPr>
            <w:tcW w:w="6402" w:type="dxa"/>
            <w:tcBorders>
              <w:top w:val="nil"/>
              <w:left w:val="nil"/>
              <w:bottom w:val="nil"/>
              <w:right w:val="nil"/>
            </w:tcBorders>
          </w:tcPr>
          <w:p w:rsidR="005579F7" w:rsidRDefault="00622165">
            <w:pPr>
              <w:spacing w:after="0" w:line="259" w:lineRule="auto"/>
              <w:ind w:left="0" w:right="0" w:firstLine="0"/>
              <w:jc w:val="left"/>
            </w:pPr>
            <w:r>
              <w:rPr>
                <w:b/>
              </w:rPr>
              <w:t xml:space="preserve">   Val142Ile </w:t>
            </w:r>
          </w:p>
        </w:tc>
        <w:tc>
          <w:tcPr>
            <w:tcW w:w="1354" w:type="dxa"/>
            <w:tcBorders>
              <w:top w:val="nil"/>
              <w:left w:val="nil"/>
              <w:bottom w:val="nil"/>
              <w:right w:val="nil"/>
            </w:tcBorders>
          </w:tcPr>
          <w:p w:rsidR="005579F7" w:rsidRDefault="00622165">
            <w:pPr>
              <w:spacing w:after="0" w:line="259" w:lineRule="auto"/>
              <w:ind w:left="190" w:right="0" w:firstLine="0"/>
              <w:jc w:val="left"/>
            </w:pPr>
            <w:r>
              <w:t xml:space="preserve">2 (5,5%) </w:t>
            </w:r>
          </w:p>
        </w:tc>
      </w:tr>
      <w:tr w:rsidR="005579F7">
        <w:trPr>
          <w:trHeight w:val="341"/>
        </w:trPr>
        <w:tc>
          <w:tcPr>
            <w:tcW w:w="6402" w:type="dxa"/>
            <w:tcBorders>
              <w:top w:val="nil"/>
              <w:left w:val="nil"/>
              <w:bottom w:val="nil"/>
              <w:right w:val="nil"/>
            </w:tcBorders>
          </w:tcPr>
          <w:p w:rsidR="005579F7" w:rsidRDefault="00622165">
            <w:pPr>
              <w:spacing w:after="0" w:line="259" w:lineRule="auto"/>
              <w:ind w:left="0" w:right="0" w:firstLine="0"/>
              <w:jc w:val="left"/>
            </w:pPr>
            <w:r>
              <w:rPr>
                <w:b/>
              </w:rPr>
              <w:t xml:space="preserve">    Não soube referir </w:t>
            </w:r>
          </w:p>
        </w:tc>
        <w:tc>
          <w:tcPr>
            <w:tcW w:w="1354" w:type="dxa"/>
            <w:tcBorders>
              <w:top w:val="nil"/>
              <w:left w:val="nil"/>
              <w:bottom w:val="nil"/>
              <w:right w:val="nil"/>
            </w:tcBorders>
          </w:tcPr>
          <w:p w:rsidR="005579F7" w:rsidRDefault="00622165">
            <w:pPr>
              <w:spacing w:after="0" w:line="259" w:lineRule="auto"/>
              <w:ind w:left="190" w:right="0" w:firstLine="0"/>
              <w:jc w:val="left"/>
            </w:pPr>
            <w:r>
              <w:t xml:space="preserve">2 (5,5%) </w:t>
            </w:r>
          </w:p>
        </w:tc>
      </w:tr>
    </w:tbl>
    <w:p w:rsidR="005579F7" w:rsidRDefault="00622165">
      <w:pPr>
        <w:spacing w:after="8" w:line="259" w:lineRule="auto"/>
        <w:ind w:left="-14" w:right="0" w:firstLine="0"/>
        <w:jc w:val="left"/>
      </w:pPr>
      <w:r>
        <w:rPr>
          <w:rFonts w:ascii="Calibri" w:eastAsia="Calibri" w:hAnsi="Calibri" w:cs="Calibri"/>
          <w:noProof/>
          <w:sz w:val="22"/>
        </w:rPr>
        <mc:AlternateContent>
          <mc:Choice Requires="wpg">
            <w:drawing>
              <wp:inline distT="0" distB="0" distL="0" distR="0">
                <wp:extent cx="5511622" cy="6096"/>
                <wp:effectExtent l="0" t="0" r="0" b="0"/>
                <wp:docPr id="31587" name="Group 31587"/>
                <wp:cNvGraphicFramePr/>
                <a:graphic xmlns:a="http://schemas.openxmlformats.org/drawingml/2006/main">
                  <a:graphicData uri="http://schemas.microsoft.com/office/word/2010/wordprocessingGroup">
                    <wpg:wgp>
                      <wpg:cNvGrpSpPr/>
                      <wpg:grpSpPr>
                        <a:xfrm>
                          <a:off x="0" y="0"/>
                          <a:ext cx="5511622" cy="6096"/>
                          <a:chOff x="0" y="0"/>
                          <a:chExt cx="5511622" cy="6096"/>
                        </a:xfrm>
                      </wpg:grpSpPr>
                      <wps:wsp>
                        <wps:cNvPr id="36811" name="Shape 36811"/>
                        <wps:cNvSpPr/>
                        <wps:spPr>
                          <a:xfrm>
                            <a:off x="0" y="0"/>
                            <a:ext cx="3589655" cy="9144"/>
                          </a:xfrm>
                          <a:custGeom>
                            <a:avLst/>
                            <a:gdLst/>
                            <a:ahLst/>
                            <a:cxnLst/>
                            <a:rect l="0" t="0" r="0" b="0"/>
                            <a:pathLst>
                              <a:path w="3589655" h="9144">
                                <a:moveTo>
                                  <a:pt x="0" y="0"/>
                                </a:moveTo>
                                <a:lnTo>
                                  <a:pt x="3589655" y="0"/>
                                </a:lnTo>
                                <a:lnTo>
                                  <a:pt x="358965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12" name="Shape 36812"/>
                        <wps:cNvSpPr/>
                        <wps:spPr>
                          <a:xfrm>
                            <a:off x="35804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13" name="Shape 36813"/>
                        <wps:cNvSpPr/>
                        <wps:spPr>
                          <a:xfrm>
                            <a:off x="3586556" y="0"/>
                            <a:ext cx="1925066" cy="9144"/>
                          </a:xfrm>
                          <a:custGeom>
                            <a:avLst/>
                            <a:gdLst/>
                            <a:ahLst/>
                            <a:cxnLst/>
                            <a:rect l="0" t="0" r="0" b="0"/>
                            <a:pathLst>
                              <a:path w="1925066" h="9144">
                                <a:moveTo>
                                  <a:pt x="0" y="0"/>
                                </a:moveTo>
                                <a:lnTo>
                                  <a:pt x="1925066" y="0"/>
                                </a:lnTo>
                                <a:lnTo>
                                  <a:pt x="192506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1587" style="width:433.986pt;height:0.47998pt;mso-position-horizontal-relative:char;mso-position-vertical-relative:line" coordsize="55116,60">
                <v:shape id="Shape 36814" style="position:absolute;width:35896;height:91;left:0;top:0;" coordsize="3589655,9144" path="m0,0l3589655,0l3589655,9144l0,9144l0,0">
                  <v:stroke weight="0pt" endcap="flat" joinstyle="miter" miterlimit="10" on="false" color="#000000" opacity="0"/>
                  <v:fill on="true" color="#7f7f7f"/>
                </v:shape>
                <v:shape id="Shape 36815" style="position:absolute;width:91;height:91;left:35804;top:0;" coordsize="9144,9144" path="m0,0l9144,0l9144,9144l0,9144l0,0">
                  <v:stroke weight="0pt" endcap="flat" joinstyle="miter" miterlimit="10" on="false" color="#000000" opacity="0"/>
                  <v:fill on="true" color="#7f7f7f"/>
                </v:shape>
                <v:shape id="Shape 36816" style="position:absolute;width:19250;height:91;left:35865;top:0;" coordsize="1925066,9144" path="m0,0l1925066,0l1925066,9144l0,9144l0,0">
                  <v:stroke weight="0pt" endcap="flat" joinstyle="miter" miterlimit="10" on="false" color="#000000" opacity="0"/>
                  <v:fill on="true" color="#7f7f7f"/>
                </v:shape>
              </v:group>
            </w:pict>
          </mc:Fallback>
        </mc:AlternateContent>
      </w:r>
    </w:p>
    <w:p w:rsidR="005579F7" w:rsidRDefault="00622165">
      <w:pPr>
        <w:spacing w:after="115" w:line="259" w:lineRule="auto"/>
        <w:ind w:left="370" w:right="0"/>
      </w:pPr>
      <w:r>
        <w:t xml:space="preserve">Tabela 02. Características da </w:t>
      </w:r>
      <w:proofErr w:type="spellStart"/>
      <w:r>
        <w:t>ATTRv</w:t>
      </w:r>
      <w:proofErr w:type="spellEnd"/>
      <w:r>
        <w:t xml:space="preserve"> </w:t>
      </w:r>
    </w:p>
    <w:p w:rsidR="005579F7" w:rsidRDefault="00622165">
      <w:pPr>
        <w:spacing w:after="115" w:line="259" w:lineRule="auto"/>
        <w:ind w:left="56" w:right="0" w:firstLine="0"/>
        <w:jc w:val="center"/>
      </w:pPr>
      <w:r>
        <w:rPr>
          <w:rFonts w:ascii="Times New Roman" w:eastAsia="Times New Roman" w:hAnsi="Times New Roman" w:cs="Times New Roman"/>
        </w:rPr>
        <w:lastRenderedPageBreak/>
        <w:t xml:space="preserve"> </w:t>
      </w:r>
    </w:p>
    <w:p w:rsidR="005579F7" w:rsidRDefault="00622165">
      <w:pPr>
        <w:spacing w:after="117" w:line="259" w:lineRule="auto"/>
        <w:ind w:left="0" w:right="0" w:firstLine="0"/>
        <w:jc w:val="left"/>
      </w:pPr>
      <w:r>
        <w:t xml:space="preserve"> </w:t>
      </w:r>
    </w:p>
    <w:p w:rsidR="005579F7" w:rsidRDefault="00622165">
      <w:pPr>
        <w:pStyle w:val="Ttulo3"/>
        <w:ind w:left="-5" w:right="485"/>
      </w:pPr>
      <w:r>
        <w:t xml:space="preserve">Olho seco </w:t>
      </w:r>
    </w:p>
    <w:p w:rsidR="005579F7" w:rsidRDefault="00622165">
      <w:pPr>
        <w:ind w:left="2" w:right="0"/>
      </w:pPr>
      <w:r>
        <w:t xml:space="preserve">O escore ISDO classificou 14 pessoas como normal (40%), 6 pessoas com sintomas leves (17,1%), 2 pessoas com sintomas moderados (5,7%) e 13 pessoas com sintomas severos (37,1%), totalizando 60% com alterações de acordo com o questionário.  </w:t>
      </w:r>
    </w:p>
    <w:p w:rsidR="005579F7" w:rsidRDefault="00622165">
      <w:pPr>
        <w:spacing w:after="65" w:line="259" w:lineRule="auto"/>
        <w:ind w:left="-1" w:right="205" w:firstLine="0"/>
        <w:jc w:val="right"/>
      </w:pPr>
      <w:r>
        <w:rPr>
          <w:noProof/>
        </w:rPr>
        <w:drawing>
          <wp:inline distT="0" distB="0" distL="0" distR="0">
            <wp:extent cx="5593970" cy="3197225"/>
            <wp:effectExtent l="0" t="0" r="0" b="0"/>
            <wp:docPr id="2871" name="Picture 2871"/>
            <wp:cNvGraphicFramePr/>
            <a:graphic xmlns:a="http://schemas.openxmlformats.org/drawingml/2006/main">
              <a:graphicData uri="http://schemas.openxmlformats.org/drawingml/2006/picture">
                <pic:pic xmlns:pic="http://schemas.openxmlformats.org/drawingml/2006/picture">
                  <pic:nvPicPr>
                    <pic:cNvPr id="2871" name="Picture 2871"/>
                    <pic:cNvPicPr/>
                  </pic:nvPicPr>
                  <pic:blipFill>
                    <a:blip r:embed="rId12"/>
                    <a:stretch>
                      <a:fillRect/>
                    </a:stretch>
                  </pic:blipFill>
                  <pic:spPr>
                    <a:xfrm>
                      <a:off x="0" y="0"/>
                      <a:ext cx="5593970" cy="3197225"/>
                    </a:xfrm>
                    <a:prstGeom prst="rect">
                      <a:avLst/>
                    </a:prstGeom>
                  </pic:spPr>
                </pic:pic>
              </a:graphicData>
            </a:graphic>
          </wp:inline>
        </w:drawing>
      </w:r>
      <w:r>
        <w:rPr>
          <w:rFonts w:ascii="Times New Roman" w:eastAsia="Times New Roman" w:hAnsi="Times New Roman" w:cs="Times New Roman"/>
        </w:rPr>
        <w:t xml:space="preserve"> </w:t>
      </w:r>
    </w:p>
    <w:p w:rsidR="005579F7" w:rsidRDefault="00622165">
      <w:pPr>
        <w:spacing w:after="115" w:line="259" w:lineRule="auto"/>
        <w:ind w:left="2" w:right="0"/>
      </w:pPr>
      <w:r>
        <w:t>Figura 02</w:t>
      </w:r>
      <w:r>
        <w:t xml:space="preserve">. Escala de Escore IDSO </w:t>
      </w:r>
    </w:p>
    <w:p w:rsidR="005579F7" w:rsidRDefault="00622165">
      <w:pPr>
        <w:spacing w:after="117" w:line="259" w:lineRule="auto"/>
        <w:ind w:left="2" w:right="0"/>
      </w:pPr>
      <w:r>
        <w:t xml:space="preserve">Fonte: Arquivo da pesquisa  </w:t>
      </w:r>
    </w:p>
    <w:p w:rsidR="005579F7" w:rsidRDefault="00622165">
      <w:pPr>
        <w:spacing w:after="115" w:line="259" w:lineRule="auto"/>
        <w:ind w:left="0" w:right="0" w:firstLine="0"/>
        <w:jc w:val="left"/>
      </w:pPr>
      <w:r>
        <w:t xml:space="preserve"> </w:t>
      </w:r>
    </w:p>
    <w:p w:rsidR="005579F7" w:rsidRDefault="00622165">
      <w:pPr>
        <w:ind w:left="2" w:right="0"/>
      </w:pPr>
      <w:r>
        <w:t xml:space="preserve">O Teste de </w:t>
      </w:r>
      <w:proofErr w:type="spellStart"/>
      <w:r>
        <w:t>Schirmer</w:t>
      </w:r>
      <w:proofErr w:type="spellEnd"/>
      <w:r>
        <w:t xml:space="preserve"> II foi positivo 12 pessoas no olho direito (33,3%) e 11 pessoas no olho esquerdo (30,5%). </w:t>
      </w:r>
    </w:p>
    <w:p w:rsidR="005579F7" w:rsidRDefault="00622165">
      <w:pPr>
        <w:spacing w:after="0" w:line="259" w:lineRule="auto"/>
        <w:ind w:left="0" w:right="0" w:firstLine="0"/>
        <w:jc w:val="left"/>
      </w:pPr>
      <w:r>
        <w:t xml:space="preserve"> </w:t>
      </w:r>
    </w:p>
    <w:p w:rsidR="005579F7" w:rsidRDefault="00622165">
      <w:pPr>
        <w:spacing w:after="64" w:line="259" w:lineRule="auto"/>
        <w:ind w:left="0" w:right="273" w:firstLine="0"/>
        <w:jc w:val="right"/>
      </w:pPr>
      <w:r>
        <w:rPr>
          <w:noProof/>
        </w:rPr>
        <w:drawing>
          <wp:inline distT="0" distB="0" distL="0" distR="0">
            <wp:extent cx="5329047" cy="1554480"/>
            <wp:effectExtent l="0" t="0" r="0" b="0"/>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13"/>
                    <a:stretch>
                      <a:fillRect/>
                    </a:stretch>
                  </pic:blipFill>
                  <pic:spPr>
                    <a:xfrm>
                      <a:off x="0" y="0"/>
                      <a:ext cx="5329047" cy="1554480"/>
                    </a:xfrm>
                    <a:prstGeom prst="rect">
                      <a:avLst/>
                    </a:prstGeom>
                  </pic:spPr>
                </pic:pic>
              </a:graphicData>
            </a:graphic>
          </wp:inline>
        </w:drawing>
      </w:r>
      <w:r>
        <w:t xml:space="preserve"> </w:t>
      </w:r>
    </w:p>
    <w:p w:rsidR="005579F7" w:rsidRDefault="00622165">
      <w:pPr>
        <w:ind w:left="2" w:right="0"/>
      </w:pPr>
      <w:r>
        <w:t>Figura 03</w:t>
      </w:r>
      <w:r>
        <w:t xml:space="preserve">. Paciente ao final do Teste de </w:t>
      </w:r>
      <w:proofErr w:type="spellStart"/>
      <w:r>
        <w:t>Schirmer</w:t>
      </w:r>
      <w:proofErr w:type="spellEnd"/>
      <w:r>
        <w:t xml:space="preserve"> II com resultado abaixo do esperado para população sem alterações de olho seco.  </w:t>
      </w:r>
    </w:p>
    <w:p w:rsidR="005579F7" w:rsidRDefault="00622165">
      <w:pPr>
        <w:spacing w:after="118" w:line="259" w:lineRule="auto"/>
        <w:ind w:left="2" w:right="0"/>
      </w:pPr>
      <w:r>
        <w:t xml:space="preserve">Fonte: Arquivo da pesquisa  </w:t>
      </w:r>
    </w:p>
    <w:p w:rsidR="005579F7" w:rsidRDefault="00622165">
      <w:pPr>
        <w:spacing w:after="115" w:line="259" w:lineRule="auto"/>
        <w:ind w:left="0" w:right="0" w:firstLine="0"/>
        <w:jc w:val="left"/>
      </w:pPr>
      <w:r>
        <w:lastRenderedPageBreak/>
        <w:t xml:space="preserve"> </w:t>
      </w:r>
    </w:p>
    <w:p w:rsidR="005579F7" w:rsidRDefault="00622165">
      <w:pPr>
        <w:ind w:left="2" w:right="0"/>
      </w:pPr>
      <w:r>
        <w:t>26 pessoas do total (72,2%) foram diagnosticadas com olho seco, com base em 2 critérios aplicados. A a</w:t>
      </w:r>
      <w:r>
        <w:t>mostra incluiu 19 sintomáticos com olho seco (52,7%) e 7 assintomáticos com olho seco (19,4%). 22 pessoas (59,4%) foram diagnosticadas em 3 critérios, sendo que a amostra incluiu 19 sintomáticos (40,5%) e 6 assintomáticos (16,2%). Dos 10 pacientes assintom</w:t>
      </w:r>
      <w:r>
        <w:t xml:space="preserve">áticos, 6 foram diagnosticados com olho seco (60%). </w:t>
      </w:r>
    </w:p>
    <w:p w:rsidR="005579F7" w:rsidRDefault="00622165">
      <w:pPr>
        <w:spacing w:after="117" w:line="259" w:lineRule="auto"/>
        <w:ind w:left="0" w:right="0" w:firstLine="0"/>
        <w:jc w:val="left"/>
      </w:pPr>
      <w:r>
        <w:t xml:space="preserve"> </w:t>
      </w:r>
    </w:p>
    <w:p w:rsidR="005579F7" w:rsidRDefault="00622165">
      <w:pPr>
        <w:ind w:left="2" w:right="0"/>
      </w:pPr>
      <w:r>
        <w:t xml:space="preserve">O teste de ruptura de superfície lacrimal identificou anormalidades em 27 pessoas (90%). Analisamos o tingimento da superfície ocular de 30 pacientes, dentre eles, 18 pacientes (66,6%) enquadram-se no </w:t>
      </w:r>
      <w:r>
        <w:t xml:space="preserve">critério de </w:t>
      </w:r>
      <w:proofErr w:type="spellStart"/>
      <w:r>
        <w:t>ceratite</w:t>
      </w:r>
      <w:proofErr w:type="spellEnd"/>
      <w:r>
        <w:t xml:space="preserve"> em ambos os olhos.  </w:t>
      </w:r>
    </w:p>
    <w:p w:rsidR="005579F7" w:rsidRDefault="00622165">
      <w:pPr>
        <w:spacing w:after="106" w:line="259" w:lineRule="auto"/>
        <w:ind w:left="0" w:right="0" w:firstLine="0"/>
        <w:jc w:val="left"/>
      </w:pPr>
      <w:r>
        <w:t xml:space="preserve"> </w:t>
      </w:r>
    </w:p>
    <w:p w:rsidR="005579F7" w:rsidRDefault="00622165">
      <w:pPr>
        <w:spacing w:after="62" w:line="259" w:lineRule="auto"/>
        <w:ind w:left="0" w:right="1382" w:firstLine="0"/>
        <w:jc w:val="right"/>
      </w:pPr>
      <w:r>
        <w:rPr>
          <w:noProof/>
        </w:rPr>
        <w:drawing>
          <wp:inline distT="0" distB="0" distL="0" distR="0">
            <wp:extent cx="3926205" cy="2543683"/>
            <wp:effectExtent l="0" t="0" r="0" b="0"/>
            <wp:docPr id="2941" name="Picture 2941"/>
            <wp:cNvGraphicFramePr/>
            <a:graphic xmlns:a="http://schemas.openxmlformats.org/drawingml/2006/main">
              <a:graphicData uri="http://schemas.openxmlformats.org/drawingml/2006/picture">
                <pic:pic xmlns:pic="http://schemas.openxmlformats.org/drawingml/2006/picture">
                  <pic:nvPicPr>
                    <pic:cNvPr id="2941" name="Picture 2941"/>
                    <pic:cNvPicPr/>
                  </pic:nvPicPr>
                  <pic:blipFill>
                    <a:blip r:embed="rId14"/>
                    <a:stretch>
                      <a:fillRect/>
                    </a:stretch>
                  </pic:blipFill>
                  <pic:spPr>
                    <a:xfrm>
                      <a:off x="0" y="0"/>
                      <a:ext cx="3926205" cy="2543683"/>
                    </a:xfrm>
                    <a:prstGeom prst="rect">
                      <a:avLst/>
                    </a:prstGeom>
                  </pic:spPr>
                </pic:pic>
              </a:graphicData>
            </a:graphic>
          </wp:inline>
        </w:drawing>
      </w:r>
      <w:r>
        <w:t xml:space="preserve"> </w:t>
      </w:r>
    </w:p>
    <w:p w:rsidR="005579F7" w:rsidRDefault="00622165">
      <w:pPr>
        <w:spacing w:after="117" w:line="259" w:lineRule="auto"/>
        <w:ind w:left="2" w:right="0"/>
      </w:pPr>
      <w:r>
        <w:t xml:space="preserve">Figura 04. Presença de ceratoconjuntivite seca em paciente com </w:t>
      </w:r>
      <w:proofErr w:type="spellStart"/>
      <w:r>
        <w:t>Amiloidose</w:t>
      </w:r>
      <w:proofErr w:type="spellEnd"/>
      <w:r>
        <w:t xml:space="preserve"> ATTR </w:t>
      </w:r>
    </w:p>
    <w:p w:rsidR="005579F7" w:rsidRDefault="00622165">
      <w:pPr>
        <w:spacing w:line="259" w:lineRule="auto"/>
        <w:ind w:left="2" w:right="0"/>
      </w:pPr>
      <w:r>
        <w:t xml:space="preserve">Fonte: Arquivo da pesquisa  </w:t>
      </w:r>
    </w:p>
    <w:p w:rsidR="005579F7" w:rsidRDefault="00622165">
      <w:pPr>
        <w:pStyle w:val="Ttulo3"/>
        <w:ind w:left="-5" w:right="485"/>
      </w:pPr>
      <w:r>
        <w:t xml:space="preserve">Alterações pupilares </w:t>
      </w:r>
    </w:p>
    <w:p w:rsidR="005579F7" w:rsidRDefault="00622165">
      <w:pPr>
        <w:ind w:left="2" w:right="0"/>
      </w:pPr>
      <w:r>
        <w:t xml:space="preserve">Da amostra de 37 indivíduos, 6 pacientes (16,2%) apresentaram algum tipo de alteração pupilar. 2 pacientes (5,4%) apresentaram alterações nos reflexos pupilares, sendo </w:t>
      </w:r>
      <w:proofErr w:type="spellStart"/>
      <w:r>
        <w:t>lentificados</w:t>
      </w:r>
      <w:proofErr w:type="spellEnd"/>
      <w:r>
        <w:t xml:space="preserve"> em ambos os olhos (Tabela 2). </w:t>
      </w:r>
    </w:p>
    <w:p w:rsidR="005579F7" w:rsidRDefault="00622165">
      <w:pPr>
        <w:spacing w:after="0" w:line="259" w:lineRule="auto"/>
        <w:ind w:left="0" w:right="0" w:firstLine="0"/>
        <w:jc w:val="left"/>
      </w:pPr>
      <w:r>
        <w:t xml:space="preserve"> </w:t>
      </w:r>
    </w:p>
    <w:p w:rsidR="005579F7" w:rsidRDefault="00622165">
      <w:pPr>
        <w:spacing w:after="8" w:line="259" w:lineRule="auto"/>
        <w:ind w:left="0" w:right="0" w:firstLine="0"/>
        <w:jc w:val="left"/>
      </w:pPr>
      <w:r>
        <w:rPr>
          <w:rFonts w:ascii="Calibri" w:eastAsia="Calibri" w:hAnsi="Calibri" w:cs="Calibri"/>
          <w:noProof/>
          <w:sz w:val="22"/>
        </w:rPr>
        <mc:AlternateContent>
          <mc:Choice Requires="wpg">
            <w:drawing>
              <wp:inline distT="0" distB="0" distL="0" distR="0">
                <wp:extent cx="5502478" cy="6096"/>
                <wp:effectExtent l="0" t="0" r="0" b="0"/>
                <wp:docPr id="31851" name="Group 31851"/>
                <wp:cNvGraphicFramePr/>
                <a:graphic xmlns:a="http://schemas.openxmlformats.org/drawingml/2006/main">
                  <a:graphicData uri="http://schemas.microsoft.com/office/word/2010/wordprocessingGroup">
                    <wpg:wgp>
                      <wpg:cNvGrpSpPr/>
                      <wpg:grpSpPr>
                        <a:xfrm>
                          <a:off x="0" y="0"/>
                          <a:ext cx="5502478" cy="6096"/>
                          <a:chOff x="0" y="0"/>
                          <a:chExt cx="5502478" cy="6096"/>
                        </a:xfrm>
                      </wpg:grpSpPr>
                      <wps:wsp>
                        <wps:cNvPr id="36817" name="Shape 36817"/>
                        <wps:cNvSpPr/>
                        <wps:spPr>
                          <a:xfrm>
                            <a:off x="0" y="0"/>
                            <a:ext cx="3937127" cy="9144"/>
                          </a:xfrm>
                          <a:custGeom>
                            <a:avLst/>
                            <a:gdLst/>
                            <a:ahLst/>
                            <a:cxnLst/>
                            <a:rect l="0" t="0" r="0" b="0"/>
                            <a:pathLst>
                              <a:path w="3937127" h="9144">
                                <a:moveTo>
                                  <a:pt x="0" y="0"/>
                                </a:moveTo>
                                <a:lnTo>
                                  <a:pt x="3937127" y="0"/>
                                </a:lnTo>
                                <a:lnTo>
                                  <a:pt x="3937127"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18" name="Shape 36818"/>
                        <wps:cNvSpPr/>
                        <wps:spPr>
                          <a:xfrm>
                            <a:off x="39370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19" name="Shape 36819"/>
                        <wps:cNvSpPr/>
                        <wps:spPr>
                          <a:xfrm>
                            <a:off x="3943172" y="0"/>
                            <a:ext cx="1559306" cy="9144"/>
                          </a:xfrm>
                          <a:custGeom>
                            <a:avLst/>
                            <a:gdLst/>
                            <a:ahLst/>
                            <a:cxnLst/>
                            <a:rect l="0" t="0" r="0" b="0"/>
                            <a:pathLst>
                              <a:path w="1559306" h="9144">
                                <a:moveTo>
                                  <a:pt x="0" y="0"/>
                                </a:moveTo>
                                <a:lnTo>
                                  <a:pt x="1559306" y="0"/>
                                </a:lnTo>
                                <a:lnTo>
                                  <a:pt x="155930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1851" style="width:433.266pt;height:0.47998pt;mso-position-horizontal-relative:char;mso-position-vertical-relative:line" coordsize="55024,60">
                <v:shape id="Shape 36820" style="position:absolute;width:39371;height:91;left:0;top:0;" coordsize="3937127,9144" path="m0,0l3937127,0l3937127,9144l0,9144l0,0">
                  <v:stroke weight="0pt" endcap="flat" joinstyle="miter" miterlimit="10" on="false" color="#000000" opacity="0"/>
                  <v:fill on="true" color="#7f7f7f"/>
                </v:shape>
                <v:shape id="Shape 36821" style="position:absolute;width:91;height:91;left:39370;top:0;" coordsize="9144,9144" path="m0,0l9144,0l9144,9144l0,9144l0,0">
                  <v:stroke weight="0pt" endcap="flat" joinstyle="miter" miterlimit="10" on="false" color="#000000" opacity="0"/>
                  <v:fill on="true" color="#7f7f7f"/>
                </v:shape>
                <v:shape id="Shape 36822" style="position:absolute;width:15593;height:91;left:39431;top:0;" coordsize="1559306,9144" path="m0,0l1559306,0l1559306,9144l0,9144l0,0">
                  <v:stroke weight="0pt" endcap="flat" joinstyle="miter" miterlimit="10" on="false" color="#000000" opacity="0"/>
                  <v:fill on="true" color="#7f7f7f"/>
                </v:shape>
              </v:group>
            </w:pict>
          </mc:Fallback>
        </mc:AlternateContent>
      </w:r>
    </w:p>
    <w:p w:rsidR="005579F7" w:rsidRDefault="00622165">
      <w:pPr>
        <w:pStyle w:val="Ttulo3"/>
        <w:spacing w:after="0" w:line="367" w:lineRule="auto"/>
        <w:ind w:left="108" w:right="485" w:firstLine="1870"/>
      </w:pPr>
      <w:r>
        <w:t>Avaliação da pupila</w:t>
      </w:r>
      <w:r>
        <w:rPr>
          <w:b w:val="0"/>
        </w:rPr>
        <w:t xml:space="preserve"> </w:t>
      </w:r>
      <w:r>
        <w:rPr>
          <w:b w:val="0"/>
        </w:rPr>
        <w:tab/>
      </w:r>
      <w:r>
        <w:t xml:space="preserve">Frequências n. (%) </w:t>
      </w:r>
      <w:r>
        <w:t xml:space="preserve">Alterações nos reflexos pupilares em ambos os </w:t>
      </w:r>
      <w:r>
        <w:tab/>
      </w:r>
      <w:r>
        <w:rPr>
          <w:b w:val="0"/>
        </w:rPr>
        <w:t xml:space="preserve">2 (5,4%) </w:t>
      </w:r>
      <w:r>
        <w:t xml:space="preserve">olhos      Olho direito </w:t>
      </w:r>
      <w:r>
        <w:tab/>
      </w:r>
      <w:r>
        <w:rPr>
          <w:b w:val="0"/>
        </w:rPr>
        <w:t>2 (5,4</w:t>
      </w:r>
      <w:proofErr w:type="gramStart"/>
      <w:r>
        <w:rPr>
          <w:b w:val="0"/>
        </w:rPr>
        <w:t xml:space="preserve">%) </w:t>
      </w:r>
      <w:r>
        <w:t xml:space="preserve">  </w:t>
      </w:r>
      <w:proofErr w:type="gramEnd"/>
      <w:r>
        <w:t xml:space="preserve">   Olho esquerdo </w:t>
      </w:r>
      <w:r>
        <w:tab/>
      </w:r>
      <w:r>
        <w:rPr>
          <w:b w:val="0"/>
        </w:rPr>
        <w:t xml:space="preserve">2 (5,4%) </w:t>
      </w:r>
      <w:r>
        <w:t xml:space="preserve"> Dissociação luz-perto </w:t>
      </w:r>
      <w:r>
        <w:tab/>
      </w:r>
      <w:r>
        <w:rPr>
          <w:b w:val="0"/>
        </w:rPr>
        <w:t xml:space="preserve">6 (16,2%) </w:t>
      </w:r>
    </w:p>
    <w:p w:rsidR="005579F7" w:rsidRDefault="00622165">
      <w:pPr>
        <w:spacing w:after="8" w:line="259" w:lineRule="auto"/>
        <w:ind w:left="-14" w:right="0" w:firstLine="0"/>
        <w:jc w:val="left"/>
      </w:pPr>
      <w:r>
        <w:rPr>
          <w:rFonts w:ascii="Calibri" w:eastAsia="Calibri" w:hAnsi="Calibri" w:cs="Calibri"/>
          <w:noProof/>
          <w:sz w:val="22"/>
        </w:rPr>
        <mc:AlternateContent>
          <mc:Choice Requires="wpg">
            <w:drawing>
              <wp:inline distT="0" distB="0" distL="0" distR="0">
                <wp:extent cx="5511622" cy="6096"/>
                <wp:effectExtent l="0" t="0" r="0" b="0"/>
                <wp:docPr id="31852" name="Group 31852"/>
                <wp:cNvGraphicFramePr/>
                <a:graphic xmlns:a="http://schemas.openxmlformats.org/drawingml/2006/main">
                  <a:graphicData uri="http://schemas.microsoft.com/office/word/2010/wordprocessingGroup">
                    <wpg:wgp>
                      <wpg:cNvGrpSpPr/>
                      <wpg:grpSpPr>
                        <a:xfrm>
                          <a:off x="0" y="0"/>
                          <a:ext cx="5511622" cy="6096"/>
                          <a:chOff x="0" y="0"/>
                          <a:chExt cx="5511622" cy="6096"/>
                        </a:xfrm>
                      </wpg:grpSpPr>
                      <wps:wsp>
                        <wps:cNvPr id="36823" name="Shape 36823"/>
                        <wps:cNvSpPr/>
                        <wps:spPr>
                          <a:xfrm>
                            <a:off x="0" y="0"/>
                            <a:ext cx="3946271" cy="9144"/>
                          </a:xfrm>
                          <a:custGeom>
                            <a:avLst/>
                            <a:gdLst/>
                            <a:ahLst/>
                            <a:cxnLst/>
                            <a:rect l="0" t="0" r="0" b="0"/>
                            <a:pathLst>
                              <a:path w="3946271" h="9144">
                                <a:moveTo>
                                  <a:pt x="0" y="0"/>
                                </a:moveTo>
                                <a:lnTo>
                                  <a:pt x="3946271" y="0"/>
                                </a:lnTo>
                                <a:lnTo>
                                  <a:pt x="394627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24" name="Shape 36824"/>
                        <wps:cNvSpPr/>
                        <wps:spPr>
                          <a:xfrm>
                            <a:off x="39370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6825" name="Shape 36825"/>
                        <wps:cNvSpPr/>
                        <wps:spPr>
                          <a:xfrm>
                            <a:off x="3943172" y="0"/>
                            <a:ext cx="1568450" cy="9144"/>
                          </a:xfrm>
                          <a:custGeom>
                            <a:avLst/>
                            <a:gdLst/>
                            <a:ahLst/>
                            <a:cxnLst/>
                            <a:rect l="0" t="0" r="0" b="0"/>
                            <a:pathLst>
                              <a:path w="1568450" h="9144">
                                <a:moveTo>
                                  <a:pt x="0" y="0"/>
                                </a:moveTo>
                                <a:lnTo>
                                  <a:pt x="1568450" y="0"/>
                                </a:lnTo>
                                <a:lnTo>
                                  <a:pt x="156845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1852" style="width:433.986pt;height:0.47998pt;mso-position-horizontal-relative:char;mso-position-vertical-relative:line" coordsize="55116,60">
                <v:shape id="Shape 36826" style="position:absolute;width:39462;height:91;left:0;top:0;" coordsize="3946271,9144" path="m0,0l3946271,0l3946271,9144l0,9144l0,0">
                  <v:stroke weight="0pt" endcap="flat" joinstyle="miter" miterlimit="10" on="false" color="#000000" opacity="0"/>
                  <v:fill on="true" color="#7f7f7f"/>
                </v:shape>
                <v:shape id="Shape 36827" style="position:absolute;width:91;height:91;left:39370;top:0;" coordsize="9144,9144" path="m0,0l9144,0l9144,9144l0,9144l0,0">
                  <v:stroke weight="0pt" endcap="flat" joinstyle="miter" miterlimit="10" on="false" color="#000000" opacity="0"/>
                  <v:fill on="true" color="#7f7f7f"/>
                </v:shape>
                <v:shape id="Shape 36828" style="position:absolute;width:15684;height:91;left:39431;top:0;" coordsize="1568450,9144" path="m0,0l1568450,0l1568450,9144l0,9144l0,0">
                  <v:stroke weight="0pt" endcap="flat" joinstyle="miter" miterlimit="10" on="false" color="#000000" opacity="0"/>
                  <v:fill on="true" color="#7f7f7f"/>
                </v:shape>
              </v:group>
            </w:pict>
          </mc:Fallback>
        </mc:AlternateContent>
      </w:r>
    </w:p>
    <w:p w:rsidR="005579F7" w:rsidRDefault="00622165">
      <w:pPr>
        <w:spacing w:after="117" w:line="259" w:lineRule="auto"/>
        <w:ind w:left="370" w:right="0"/>
      </w:pPr>
      <w:r>
        <w:lastRenderedPageBreak/>
        <w:t xml:space="preserve">Tabela 03. Avaliação pupilar dos pacientes com </w:t>
      </w:r>
      <w:proofErr w:type="spellStart"/>
      <w:r>
        <w:t>ATTRv</w:t>
      </w:r>
      <w:proofErr w:type="spellEnd"/>
      <w:r>
        <w:t xml:space="preserve"> </w:t>
      </w:r>
    </w:p>
    <w:p w:rsidR="005579F7" w:rsidRDefault="00622165">
      <w:pPr>
        <w:spacing w:after="115" w:line="259" w:lineRule="auto"/>
        <w:ind w:left="0" w:right="0" w:firstLine="0"/>
        <w:jc w:val="left"/>
      </w:pPr>
      <w:r>
        <w:t xml:space="preserve"> </w:t>
      </w:r>
    </w:p>
    <w:p w:rsidR="005579F7" w:rsidRDefault="00622165">
      <w:pPr>
        <w:ind w:left="2" w:right="0"/>
      </w:pPr>
      <w:r>
        <w:t xml:space="preserve">O formato da pupila foi considerado circular em toda amostra, sendo observado </w:t>
      </w:r>
      <w:proofErr w:type="spellStart"/>
      <w:r>
        <w:t>anisocoria</w:t>
      </w:r>
      <w:proofErr w:type="spellEnd"/>
      <w:r>
        <w:t xml:space="preserve"> em um paciente.  </w:t>
      </w:r>
    </w:p>
    <w:p w:rsidR="005579F7" w:rsidRDefault="00622165">
      <w:pPr>
        <w:spacing w:after="107" w:line="259" w:lineRule="auto"/>
        <w:ind w:left="0" w:right="0" w:firstLine="0"/>
        <w:jc w:val="left"/>
      </w:pPr>
      <w:r>
        <w:t xml:space="preserve"> </w:t>
      </w:r>
    </w:p>
    <w:p w:rsidR="005579F7" w:rsidRDefault="00622165">
      <w:pPr>
        <w:spacing w:after="64" w:line="259" w:lineRule="auto"/>
        <w:ind w:left="0" w:right="535" w:firstLine="0"/>
        <w:jc w:val="right"/>
      </w:pPr>
      <w:r>
        <w:rPr>
          <w:noProof/>
        </w:rPr>
        <w:drawing>
          <wp:inline distT="0" distB="0" distL="0" distR="0">
            <wp:extent cx="5001768" cy="1842770"/>
            <wp:effectExtent l="0" t="0" r="0" b="0"/>
            <wp:docPr id="3040" name="Picture 3040"/>
            <wp:cNvGraphicFramePr/>
            <a:graphic xmlns:a="http://schemas.openxmlformats.org/drawingml/2006/main">
              <a:graphicData uri="http://schemas.openxmlformats.org/drawingml/2006/picture">
                <pic:pic xmlns:pic="http://schemas.openxmlformats.org/drawingml/2006/picture">
                  <pic:nvPicPr>
                    <pic:cNvPr id="3040" name="Picture 3040"/>
                    <pic:cNvPicPr/>
                  </pic:nvPicPr>
                  <pic:blipFill>
                    <a:blip r:embed="rId15"/>
                    <a:stretch>
                      <a:fillRect/>
                    </a:stretch>
                  </pic:blipFill>
                  <pic:spPr>
                    <a:xfrm>
                      <a:off x="0" y="0"/>
                      <a:ext cx="5001768" cy="1842770"/>
                    </a:xfrm>
                    <a:prstGeom prst="rect">
                      <a:avLst/>
                    </a:prstGeom>
                  </pic:spPr>
                </pic:pic>
              </a:graphicData>
            </a:graphic>
          </wp:inline>
        </w:drawing>
      </w:r>
      <w:r>
        <w:t xml:space="preserve"> </w:t>
      </w:r>
    </w:p>
    <w:p w:rsidR="005579F7" w:rsidRDefault="00622165">
      <w:pPr>
        <w:spacing w:after="115" w:line="259" w:lineRule="auto"/>
        <w:ind w:left="2" w:right="0"/>
      </w:pPr>
      <w:r>
        <w:t xml:space="preserve">Figura 05. Paciente </w:t>
      </w:r>
      <w:proofErr w:type="spellStart"/>
      <w:r>
        <w:t>ATTRv</w:t>
      </w:r>
      <w:proofErr w:type="spellEnd"/>
      <w:r>
        <w:t xml:space="preserve"> com </w:t>
      </w:r>
      <w:proofErr w:type="spellStart"/>
      <w:r>
        <w:t>anisocoria</w:t>
      </w:r>
      <w:proofErr w:type="spellEnd"/>
      <w:r>
        <w:t xml:space="preserve"> </w:t>
      </w:r>
    </w:p>
    <w:p w:rsidR="005579F7" w:rsidRDefault="00622165">
      <w:pPr>
        <w:spacing w:after="115" w:line="259" w:lineRule="auto"/>
        <w:ind w:left="2" w:right="0"/>
      </w:pPr>
      <w:r>
        <w:t xml:space="preserve">Fonte: Arquivo da pesquisa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pStyle w:val="Ttulo3"/>
        <w:ind w:left="-5" w:right="485"/>
      </w:pPr>
      <w:r>
        <w:t xml:space="preserve">6 DISCUSSÃO </w:t>
      </w:r>
    </w:p>
    <w:p w:rsidR="005579F7" w:rsidRDefault="00622165">
      <w:pPr>
        <w:spacing w:after="117" w:line="259" w:lineRule="auto"/>
        <w:ind w:left="0" w:right="0" w:firstLine="0"/>
        <w:jc w:val="left"/>
      </w:pPr>
      <w:r>
        <w:t xml:space="preserve"> </w:t>
      </w:r>
    </w:p>
    <w:p w:rsidR="005579F7" w:rsidRDefault="00622165">
      <w:pPr>
        <w:spacing w:after="34"/>
        <w:ind w:left="2" w:right="0"/>
      </w:pPr>
      <w:r>
        <w:t xml:space="preserve">A </w:t>
      </w:r>
      <w:proofErr w:type="spellStart"/>
      <w:r>
        <w:t>ATTRv</w:t>
      </w:r>
      <w:proofErr w:type="spellEnd"/>
      <w:r>
        <w:t xml:space="preserve"> </w:t>
      </w:r>
      <w:r>
        <w:t>é uma condição de distribuição global, classificada como uma doença rara devido à sua baixa prevalência, com uma taxa de mutação genética de apenas 1 em cada 1 milhão de pessoas</w:t>
      </w:r>
      <w:r>
        <w:rPr>
          <w:vertAlign w:val="superscript"/>
        </w:rPr>
        <w:t>37</w:t>
      </w:r>
      <w:r>
        <w:t>. Entretanto, é importante destacar que essa doença é considerada endêmica em</w:t>
      </w:r>
      <w:r>
        <w:t xml:space="preserve"> algumas regiões específicas, como Portugal, Suécia e Japão, onde a mutação genética mais comum é a TTR Val30Met</w:t>
      </w:r>
      <w:r>
        <w:rPr>
          <w:vertAlign w:val="superscript"/>
        </w:rPr>
        <w:t>6,7</w:t>
      </w:r>
      <w:r>
        <w:t xml:space="preserve">. Um estudo epidemiológico conduzido no Setor de </w:t>
      </w:r>
      <w:proofErr w:type="spellStart"/>
      <w:r>
        <w:t>Neurogenética</w:t>
      </w:r>
      <w:proofErr w:type="spellEnd"/>
      <w:r>
        <w:t xml:space="preserve"> do Hospital das Clínicas da Universidade de São Paulo, em Ribeirão Preto, Bras</w:t>
      </w:r>
      <w:r>
        <w:t>il, identificou que a mutação Val30Met prevalece em 90,6% dos pacientes brasileiros, enquanto outras sete mutações (Aps38Tyr, Ile107Val, Val71Ala e Val122Ile) representam apenas 4,7% da amostra</w:t>
      </w:r>
      <w:r>
        <w:rPr>
          <w:vertAlign w:val="superscript"/>
        </w:rPr>
        <w:t>8</w:t>
      </w:r>
      <w:r>
        <w:t xml:space="preserve">.  </w:t>
      </w:r>
    </w:p>
    <w:p w:rsidR="005579F7" w:rsidRDefault="00622165">
      <w:pPr>
        <w:spacing w:after="115" w:line="259" w:lineRule="auto"/>
        <w:ind w:left="0" w:right="0" w:firstLine="0"/>
        <w:jc w:val="left"/>
      </w:pPr>
      <w:r>
        <w:t xml:space="preserve"> </w:t>
      </w:r>
    </w:p>
    <w:p w:rsidR="005579F7" w:rsidRDefault="00622165">
      <w:pPr>
        <w:spacing w:after="57"/>
        <w:ind w:left="2" w:right="0"/>
      </w:pPr>
      <w:r>
        <w:lastRenderedPageBreak/>
        <w:t>No contexto do presente estudo, foi notada uma convergên</w:t>
      </w:r>
      <w:r>
        <w:t>cia nas prevalências das mutações genéticas, com a mutação Val30Met predominante em 48,64% dos casos, seguida pela Ile127Val com 38,9%, porém não tão dominante. Essas variações percentuais na prevalência provavelmente são atribuíveis à distribuição genétic</w:t>
      </w:r>
      <w:r>
        <w:t>a heterogênea em diferentes áreas geográficas.</w:t>
      </w:r>
      <w:r>
        <w:rPr>
          <w:vertAlign w:val="superscript"/>
        </w:rPr>
        <w:t xml:space="preserve"> 10,13,14</w:t>
      </w:r>
      <w:r>
        <w:t xml:space="preserve">  </w:t>
      </w:r>
    </w:p>
    <w:p w:rsidR="005579F7" w:rsidRDefault="00622165">
      <w:pPr>
        <w:spacing w:after="117" w:line="259" w:lineRule="auto"/>
        <w:ind w:left="0" w:right="0" w:firstLine="0"/>
        <w:jc w:val="left"/>
      </w:pPr>
      <w:r>
        <w:t xml:space="preserve"> </w:t>
      </w:r>
    </w:p>
    <w:p w:rsidR="005579F7" w:rsidRDefault="00622165">
      <w:pPr>
        <w:ind w:left="2" w:right="0"/>
      </w:pPr>
      <w:r>
        <w:t xml:space="preserve">Devido à ampla diversidade geográfica da </w:t>
      </w:r>
      <w:proofErr w:type="spellStart"/>
      <w:r>
        <w:t>ATTRv</w:t>
      </w:r>
      <w:proofErr w:type="spellEnd"/>
      <w:r>
        <w:t>, estabelecer uma prevalência precisa torna-se uma tarefa desafiadora, e até o momento não há dados disponíveis sobre o envolvimento ocular dessa cond</w:t>
      </w:r>
      <w:r>
        <w:t xml:space="preserve">ição na população brasileira. O presente estudo representa um marco, sendo o primeiro a descrever essas manifestações em pacientes brasileiros com </w:t>
      </w:r>
      <w:proofErr w:type="spellStart"/>
      <w:r>
        <w:t>ATTRv</w:t>
      </w:r>
      <w:proofErr w:type="spellEnd"/>
      <w:r>
        <w:t xml:space="preserve">. </w:t>
      </w:r>
    </w:p>
    <w:p w:rsidR="005579F7" w:rsidRDefault="00622165">
      <w:pPr>
        <w:spacing w:after="117" w:line="259" w:lineRule="auto"/>
        <w:ind w:left="0" w:right="0" w:firstLine="0"/>
        <w:jc w:val="left"/>
      </w:pPr>
      <w:r>
        <w:t xml:space="preserve"> </w:t>
      </w:r>
    </w:p>
    <w:p w:rsidR="005579F7" w:rsidRDefault="00622165">
      <w:pPr>
        <w:ind w:left="2" w:right="0"/>
      </w:pPr>
      <w:r>
        <w:t xml:space="preserve">A associação entre </w:t>
      </w:r>
      <w:proofErr w:type="spellStart"/>
      <w:r>
        <w:t>ATTRv</w:t>
      </w:r>
      <w:proofErr w:type="spellEnd"/>
      <w:r>
        <w:t xml:space="preserve"> e manifestações oculares remonta a 1953, quando foram relatadas opacidades</w:t>
      </w:r>
      <w:r>
        <w:t xml:space="preserve"> vítreas e pupilas dilatadas em pacientes com neuropatia em membros inferiores</w:t>
      </w:r>
      <w:r>
        <w:rPr>
          <w:vertAlign w:val="superscript"/>
        </w:rPr>
        <w:t>38</w:t>
      </w:r>
      <w:r>
        <w:t xml:space="preserve">. Desde então, uma variedade de achados oculares relacionados a essa doença foi documentada, com potencial impacto em quase todos os componentes do olho. </w:t>
      </w:r>
    </w:p>
    <w:p w:rsidR="005579F7" w:rsidRDefault="00622165">
      <w:pPr>
        <w:spacing w:after="117" w:line="259" w:lineRule="auto"/>
        <w:ind w:left="0" w:right="0" w:firstLine="0"/>
        <w:jc w:val="left"/>
      </w:pPr>
      <w:r>
        <w:t xml:space="preserve"> </w:t>
      </w:r>
    </w:p>
    <w:p w:rsidR="005579F7" w:rsidRDefault="00622165">
      <w:pPr>
        <w:ind w:left="2" w:right="0"/>
      </w:pPr>
      <w:r>
        <w:t>É relevante notar q</w:t>
      </w:r>
      <w:r>
        <w:t xml:space="preserve">ue este estudo, até onde sabemos, é o primeiro a analisar clinicamente os sintomas oculares e estabelecer uma conexão entre </w:t>
      </w:r>
      <w:proofErr w:type="spellStart"/>
      <w:r>
        <w:t>ATTRv</w:t>
      </w:r>
      <w:proofErr w:type="spellEnd"/>
      <w:r>
        <w:t xml:space="preserve"> e manifestações oculares em pacientes brasileiros. Dos 37 pacientes estudados, surpreendentes 72,2% foram diagnosticados com c</w:t>
      </w:r>
      <w:r>
        <w:t>eratoconjuntivite seca, contrariando a hipótese de que apenas 10% da população seria afetada por sintomas oculares, como mencionado por Martins</w:t>
      </w:r>
      <w:r>
        <w:rPr>
          <w:vertAlign w:val="superscript"/>
        </w:rPr>
        <w:t>34</w:t>
      </w:r>
      <w:r>
        <w:t xml:space="preserve">. Esses achados destacam a importância da consideração de sintomas oculares em pacientes com </w:t>
      </w:r>
      <w:proofErr w:type="spellStart"/>
      <w:r>
        <w:t>ATTRv</w:t>
      </w:r>
      <w:proofErr w:type="spellEnd"/>
      <w:r>
        <w:t>, mesmo quand</w:t>
      </w:r>
      <w:r>
        <w:t xml:space="preserve">o eles não são os primeiros a se manifestar. </w:t>
      </w:r>
    </w:p>
    <w:p w:rsidR="005579F7" w:rsidRDefault="00622165">
      <w:pPr>
        <w:spacing w:after="117" w:line="259" w:lineRule="auto"/>
        <w:ind w:left="0" w:right="0" w:firstLine="0"/>
        <w:jc w:val="left"/>
      </w:pPr>
      <w:r>
        <w:t xml:space="preserve"> </w:t>
      </w:r>
    </w:p>
    <w:p w:rsidR="005579F7" w:rsidRDefault="00622165">
      <w:pPr>
        <w:ind w:left="2" w:right="0"/>
      </w:pPr>
      <w:r>
        <w:t>Além disso, os resultados deste estudo indicam que a maioria dos pacientes pertence à categoria PND I (54,1%) e apresenta comprometimento ocular, o que difere das suposições de que os sintomas oculares geralm</w:t>
      </w:r>
      <w:r>
        <w:t>ente aparecem em estágios avançados da doença</w:t>
      </w:r>
      <w:r>
        <w:rPr>
          <w:vertAlign w:val="superscript"/>
        </w:rPr>
        <w:t>39</w:t>
      </w:r>
      <w:r>
        <w:t xml:space="preserve">. Este fato ressalta a necessidade de uma vigilância oftalmológica regular em pacientes com </w:t>
      </w:r>
      <w:proofErr w:type="spellStart"/>
      <w:r>
        <w:t>ATTRv</w:t>
      </w:r>
      <w:proofErr w:type="spellEnd"/>
      <w:r>
        <w:t xml:space="preserve">, mesmo em estágios iniciais da doença. </w:t>
      </w:r>
    </w:p>
    <w:p w:rsidR="005579F7" w:rsidRDefault="00622165">
      <w:pPr>
        <w:spacing w:after="115" w:line="259" w:lineRule="auto"/>
        <w:ind w:left="0" w:right="0" w:firstLine="0"/>
        <w:jc w:val="left"/>
      </w:pPr>
      <w:r>
        <w:t xml:space="preserve"> </w:t>
      </w:r>
    </w:p>
    <w:p w:rsidR="005579F7" w:rsidRDefault="00622165">
      <w:pPr>
        <w:ind w:left="2" w:right="0"/>
      </w:pPr>
      <w:r>
        <w:lastRenderedPageBreak/>
        <w:t xml:space="preserve">Embora os sintomas oculares raramente sejam percebidos como o primeiro sinal da </w:t>
      </w:r>
      <w:proofErr w:type="spellStart"/>
      <w:r>
        <w:t>ATTRv</w:t>
      </w:r>
      <w:proofErr w:type="spellEnd"/>
      <w:r>
        <w:t>, eles devem ser considerados com seriedade, especialmente em países endêmicos</w:t>
      </w:r>
      <w:r>
        <w:rPr>
          <w:vertAlign w:val="superscript"/>
        </w:rPr>
        <w:t>34</w:t>
      </w:r>
      <w:r>
        <w:t xml:space="preserve">. O presente estudo reforça isso ao evidenciar o diagnóstico de ceratoconjuntivite seca na </w:t>
      </w:r>
      <w:r>
        <w:t xml:space="preserve">amostra de assintomáticos (60%).  </w:t>
      </w:r>
    </w:p>
    <w:p w:rsidR="005579F7" w:rsidRDefault="00622165">
      <w:pPr>
        <w:spacing w:after="115" w:line="259" w:lineRule="auto"/>
        <w:ind w:left="0" w:right="0" w:firstLine="0"/>
        <w:jc w:val="left"/>
      </w:pPr>
      <w:r>
        <w:t xml:space="preserve"> </w:t>
      </w:r>
    </w:p>
    <w:p w:rsidR="005579F7" w:rsidRDefault="00622165">
      <w:pPr>
        <w:spacing w:after="27"/>
        <w:ind w:left="2" w:right="0"/>
      </w:pPr>
      <w:r>
        <w:t xml:space="preserve">Este trabalho reforça a importância de identificar a ceratoconjuntivite seca, que pode ter um impacto significativo na qualidade de vida dos pacientes, visto que o olho seco, quando não tratado corretamente pode causar </w:t>
      </w:r>
      <w:r>
        <w:t>inflamação, anormalidades e danos neurológicos</w:t>
      </w:r>
      <w:r>
        <w:rPr>
          <w:vertAlign w:val="superscript"/>
        </w:rPr>
        <w:t>25</w:t>
      </w:r>
      <w:r>
        <w:t xml:space="preserve">. Nesse sentido, reconhecê-lo é essencial, visto que essa manifestação da </w:t>
      </w:r>
      <w:proofErr w:type="spellStart"/>
      <w:r>
        <w:t>ATTRv</w:t>
      </w:r>
      <w:proofErr w:type="spellEnd"/>
      <w:r>
        <w:t>, na vigência de um acompanhamento regular oftalmológico, possui opções terapêuticas como o uso contínuo de colírios lubrificante</w:t>
      </w:r>
      <w:r>
        <w:t>s.</w:t>
      </w:r>
      <w:r>
        <w:rPr>
          <w:vertAlign w:val="superscript"/>
        </w:rPr>
        <w:t>26</w:t>
      </w:r>
      <w:r>
        <w:t xml:space="preserve">. </w:t>
      </w:r>
    </w:p>
    <w:p w:rsidR="005579F7" w:rsidRDefault="00622165">
      <w:pPr>
        <w:spacing w:after="117" w:line="259" w:lineRule="auto"/>
        <w:ind w:left="0" w:right="0" w:firstLine="0"/>
        <w:jc w:val="left"/>
      </w:pPr>
      <w:r>
        <w:t xml:space="preserve"> </w:t>
      </w:r>
    </w:p>
    <w:p w:rsidR="005579F7" w:rsidRDefault="00622165">
      <w:pPr>
        <w:ind w:left="2" w:right="0"/>
      </w:pPr>
      <w:r>
        <w:t xml:space="preserve">Ando et al. também descreveu alterações pupilares em 43,2% dos pacientes, como reflexo </w:t>
      </w:r>
      <w:proofErr w:type="spellStart"/>
      <w:r>
        <w:t>lentificado</w:t>
      </w:r>
      <w:proofErr w:type="spellEnd"/>
      <w:r>
        <w:t xml:space="preserve"> e distorção no formato pupilar.</w:t>
      </w:r>
      <w:r>
        <w:rPr>
          <w:vertAlign w:val="superscript"/>
        </w:rPr>
        <w:t>12</w:t>
      </w:r>
      <w:r>
        <w:t xml:space="preserve"> Em nosso estudo, encontramos anormalidades pupilares em 16,6% dos casos, resultados consistentes com a literatura.</w:t>
      </w:r>
      <w:r>
        <w:t xml:space="preserve"> A diferença na prevalência pode ser atribuída à diversidade genética, já que Ando et al. focou apenas em pacientes com a mutação Val30Met. </w:t>
      </w:r>
    </w:p>
    <w:p w:rsidR="005579F7" w:rsidRDefault="00622165">
      <w:pPr>
        <w:spacing w:after="117" w:line="259" w:lineRule="auto"/>
        <w:ind w:left="0" w:right="0" w:firstLine="0"/>
        <w:jc w:val="left"/>
      </w:pPr>
      <w:r>
        <w:t xml:space="preserve"> </w:t>
      </w:r>
    </w:p>
    <w:p w:rsidR="005579F7" w:rsidRDefault="00622165">
      <w:pPr>
        <w:spacing w:after="53"/>
        <w:ind w:left="2" w:right="0"/>
      </w:pPr>
      <w:r>
        <w:t>É fundamental destacar que, apesar das limitações inerentes a estudos transversais em doenças raras, este trabalh</w:t>
      </w:r>
      <w:r>
        <w:t xml:space="preserve">o pioneiro oferece uma valiosa contribuição ao descrever os sintomas oculares em pacientes com </w:t>
      </w:r>
      <w:proofErr w:type="spellStart"/>
      <w:r>
        <w:t>ATTRv</w:t>
      </w:r>
      <w:proofErr w:type="spellEnd"/>
      <w:r>
        <w:t xml:space="preserve"> no Brasil. Além disso, é importante ressaltar que a maioria dos estudos semelhantes também enfrenta desafios relacionados ao tamanho reduzido da amostra, c</w:t>
      </w:r>
      <w:r>
        <w:t>omo observado em Ando et al. e Ruiz-</w:t>
      </w:r>
      <w:proofErr w:type="spellStart"/>
      <w:r>
        <w:t>Medrano</w:t>
      </w:r>
      <w:proofErr w:type="spellEnd"/>
      <w:r>
        <w:t xml:space="preserve"> et al</w:t>
      </w:r>
      <w:r>
        <w:rPr>
          <w:vertAlign w:val="superscript"/>
        </w:rPr>
        <w:t>12,40</w:t>
      </w:r>
      <w:r>
        <w:t xml:space="preserve">.  </w:t>
      </w:r>
    </w:p>
    <w:p w:rsidR="005579F7" w:rsidRDefault="00622165">
      <w:pPr>
        <w:spacing w:after="117" w:line="259" w:lineRule="auto"/>
        <w:ind w:left="0" w:right="0" w:firstLine="0"/>
        <w:jc w:val="left"/>
      </w:pPr>
      <w:r>
        <w:t xml:space="preserve"> </w:t>
      </w:r>
    </w:p>
    <w:p w:rsidR="005579F7" w:rsidRDefault="00622165">
      <w:pPr>
        <w:ind w:left="2" w:right="0"/>
      </w:pPr>
      <w:r>
        <w:t xml:space="preserve">Por fim, é fundamental reconhecer que a </w:t>
      </w:r>
      <w:proofErr w:type="spellStart"/>
      <w:r>
        <w:t>ATTRv</w:t>
      </w:r>
      <w:proofErr w:type="spellEnd"/>
      <w:r>
        <w:t xml:space="preserve"> é uma doença debilitante, progressiva e incurável, representando um desafio significativo na neurologia contemporânea. Portanto, é crucial realizar es</w:t>
      </w:r>
      <w:r>
        <w:t>tudos adicionais para aprofundar nossa compreensão da sua história natural e identificar áreas específicas de intervenção médica. A detecção precoce de manifestações oftalmológicas relevantes pode permitir a implementação imediata de terapias de reabilitaç</w:t>
      </w:r>
      <w:r>
        <w:t>ão, visando aprimorar a qualidade de vida dos pacientes. É importante notar que, embora as manifestações neurológicas e cardíacas sejam frequentemente as mais impactantes, os sintomas oculares podem ocorrer concomitantemente ou até mesmo preceder outros si</w:t>
      </w:r>
      <w:r>
        <w:t xml:space="preserve">ntomas da </w:t>
      </w:r>
      <w:proofErr w:type="spellStart"/>
      <w:r>
        <w:t>ATTRv</w:t>
      </w:r>
      <w:proofErr w:type="spellEnd"/>
      <w:r>
        <w:t xml:space="preserve">, enfatizando </w:t>
      </w:r>
      <w:r>
        <w:lastRenderedPageBreak/>
        <w:t>a necessidade de avaliações oftalmológicas regulares, mesmo em pacientes assintomáticos. Estudos adicionais são necessários para confirmar essas descobertas e entender melhor quais mutações estão associadas ao envolvimento ocul</w:t>
      </w:r>
      <w:r>
        <w:t xml:space="preserve">ar e suas diferentes prevalências.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8"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pStyle w:val="Ttulo3"/>
        <w:ind w:left="-5" w:right="485"/>
      </w:pPr>
      <w:r>
        <w:t xml:space="preserve">7 CONCLUSÃO </w:t>
      </w:r>
    </w:p>
    <w:p w:rsidR="005579F7" w:rsidRDefault="00622165">
      <w:pPr>
        <w:spacing w:after="117" w:line="259" w:lineRule="auto"/>
        <w:ind w:left="0" w:right="0" w:firstLine="0"/>
        <w:jc w:val="left"/>
      </w:pPr>
      <w:r>
        <w:t xml:space="preserve"> </w:t>
      </w:r>
    </w:p>
    <w:p w:rsidR="005579F7" w:rsidRDefault="00622165">
      <w:pPr>
        <w:ind w:left="2" w:right="0"/>
      </w:pPr>
      <w:r>
        <w:t xml:space="preserve">O presente estudo piloto representa uma investigação inicial que apresenta dados preliminares relacionados à presença de ceratoconjuntivite seca em uma amostra de pacientes diagnosticados com </w:t>
      </w:r>
      <w:proofErr w:type="spellStart"/>
      <w:r>
        <w:t>ATTRv</w:t>
      </w:r>
      <w:proofErr w:type="spellEnd"/>
      <w:r>
        <w:t>. Os resultados indicam uma alta prevalência de sintomas oc</w:t>
      </w:r>
      <w:r>
        <w:t xml:space="preserve">ulares nesta população, destacando a relevância de investigar o envolvimento ocular em pacientes com </w:t>
      </w:r>
      <w:proofErr w:type="spellStart"/>
      <w:r>
        <w:t>ATTRv</w:t>
      </w:r>
      <w:proofErr w:type="spellEnd"/>
      <w:r>
        <w:t xml:space="preserve">. </w:t>
      </w:r>
    </w:p>
    <w:p w:rsidR="005579F7" w:rsidRDefault="00622165">
      <w:pPr>
        <w:spacing w:after="117" w:line="259" w:lineRule="auto"/>
        <w:ind w:left="0" w:right="0" w:firstLine="0"/>
        <w:jc w:val="left"/>
      </w:pPr>
      <w:r>
        <w:t xml:space="preserve"> </w:t>
      </w:r>
    </w:p>
    <w:p w:rsidR="005579F7" w:rsidRDefault="00622165">
      <w:pPr>
        <w:ind w:left="2" w:right="0"/>
      </w:pPr>
      <w:r>
        <w:t>Portanto, é imperativo que estudos subsequentes sejam conduzidos para validar essas descobertas e elucidar quais mutações específicas estão assoc</w:t>
      </w:r>
      <w:r>
        <w:t xml:space="preserve">iadas ao comprometimento ocular, bem como para determinar as diferenças na prevalência entre elas. Além disso, é crucial investigar se a presença de ceratoconjuntivite seca </w:t>
      </w:r>
      <w:r>
        <w:lastRenderedPageBreak/>
        <w:t>pode ser considerada um marcador significativo para o início e a progressão da doen</w:t>
      </w:r>
      <w:r>
        <w:t xml:space="preserve">ça. </w:t>
      </w:r>
    </w:p>
    <w:p w:rsidR="005579F7" w:rsidRDefault="00622165">
      <w:pPr>
        <w:spacing w:after="115" w:line="259" w:lineRule="auto"/>
        <w:ind w:left="0" w:right="0" w:firstLine="0"/>
        <w:jc w:val="left"/>
      </w:pPr>
      <w:r>
        <w:t xml:space="preserve"> </w:t>
      </w:r>
    </w:p>
    <w:p w:rsidR="005579F7" w:rsidRDefault="00622165">
      <w:pPr>
        <w:spacing w:after="254" w:line="259" w:lineRule="auto"/>
        <w:ind w:left="0" w:right="0" w:firstLine="0"/>
        <w:jc w:val="left"/>
      </w:pPr>
      <w:r>
        <w:t xml:space="preserve"> </w:t>
      </w:r>
    </w:p>
    <w:p w:rsidR="005579F7" w:rsidRDefault="00622165">
      <w:pPr>
        <w:spacing w:after="254" w:line="259" w:lineRule="auto"/>
        <w:ind w:left="0" w:right="0" w:firstLine="0"/>
        <w:jc w:val="left"/>
      </w:pPr>
      <w:r>
        <w:t xml:space="preserve"> </w:t>
      </w:r>
    </w:p>
    <w:p w:rsidR="005579F7" w:rsidRDefault="00622165">
      <w:pPr>
        <w:spacing w:after="254" w:line="259" w:lineRule="auto"/>
        <w:ind w:left="0" w:right="0" w:firstLine="0"/>
        <w:jc w:val="left"/>
      </w:pPr>
      <w:r>
        <w:t xml:space="preserve"> </w:t>
      </w:r>
    </w:p>
    <w:p w:rsidR="005579F7" w:rsidRDefault="00622165">
      <w:pPr>
        <w:spacing w:after="254" w:line="259" w:lineRule="auto"/>
        <w:ind w:left="0" w:right="0" w:firstLine="0"/>
        <w:jc w:val="left"/>
      </w:pPr>
      <w:r>
        <w:t xml:space="preserve"> </w:t>
      </w:r>
    </w:p>
    <w:p w:rsidR="005579F7" w:rsidRDefault="00622165">
      <w:pPr>
        <w:spacing w:after="254" w:line="259" w:lineRule="auto"/>
        <w:ind w:left="0" w:right="0" w:firstLine="0"/>
        <w:jc w:val="left"/>
      </w:pPr>
      <w:r>
        <w:t xml:space="preserve"> </w:t>
      </w:r>
    </w:p>
    <w:p w:rsidR="005579F7" w:rsidRDefault="00622165">
      <w:pPr>
        <w:spacing w:after="254" w:line="259" w:lineRule="auto"/>
        <w:ind w:left="0" w:right="0" w:firstLine="0"/>
        <w:jc w:val="left"/>
      </w:pPr>
      <w:r>
        <w:t xml:space="preserve"> </w:t>
      </w:r>
    </w:p>
    <w:p w:rsidR="005579F7" w:rsidRDefault="00622165">
      <w:pPr>
        <w:spacing w:after="254"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pStyle w:val="Ttulo3"/>
        <w:ind w:left="-5" w:right="485"/>
      </w:pPr>
      <w:r>
        <w:t xml:space="preserve">8 REFERÊNCIAS </w:t>
      </w:r>
    </w:p>
    <w:p w:rsidR="005579F7" w:rsidRDefault="00622165">
      <w:pPr>
        <w:spacing w:after="0" w:line="259" w:lineRule="auto"/>
        <w:ind w:left="0" w:right="0" w:firstLine="0"/>
        <w:jc w:val="left"/>
      </w:pPr>
      <w:r>
        <w:t xml:space="preserve"> </w:t>
      </w:r>
    </w:p>
    <w:p w:rsidR="005579F7" w:rsidRPr="00B1535A" w:rsidRDefault="00622165">
      <w:pPr>
        <w:numPr>
          <w:ilvl w:val="0"/>
          <w:numId w:val="6"/>
        </w:numPr>
        <w:spacing w:line="259" w:lineRule="auto"/>
        <w:ind w:right="0" w:hanging="641"/>
        <w:jc w:val="left"/>
        <w:rPr>
          <w:lang w:val="en-US"/>
        </w:rPr>
      </w:pPr>
      <w:r w:rsidRPr="00B1535A">
        <w:rPr>
          <w:lang w:val="en-US"/>
        </w:rPr>
        <w:t xml:space="preserve">Andrade C. A PECULIAR FORM OF PERIPHERAL NEUROPATHY FAMILIAR </w:t>
      </w:r>
    </w:p>
    <w:p w:rsidR="005579F7" w:rsidRDefault="00622165">
      <w:pPr>
        <w:spacing w:after="3" w:line="241" w:lineRule="auto"/>
        <w:ind w:left="641" w:right="0" w:firstLine="0"/>
        <w:jc w:val="left"/>
      </w:pPr>
      <w:r w:rsidRPr="00B1535A">
        <w:rPr>
          <w:lang w:val="en-US"/>
        </w:rPr>
        <w:t xml:space="preserve">ATYPICAL GENERALIZED AMYLOIDOSIS WITH SPECIAL INVOLVEMENT OF THE PERIPHERAL NERVES [Internet]. </w:t>
      </w:r>
      <w:r>
        <w:t xml:space="preserve">1952. </w:t>
      </w:r>
      <w:proofErr w:type="spellStart"/>
      <w:r>
        <w:t>Available</w:t>
      </w:r>
      <w:proofErr w:type="spellEnd"/>
      <w:r>
        <w:t xml:space="preserve"> </w:t>
      </w:r>
      <w:proofErr w:type="spellStart"/>
      <w:r>
        <w:t>from</w:t>
      </w:r>
      <w:proofErr w:type="spellEnd"/>
      <w:r>
        <w:t xml:space="preserve">: http://brain.oxfordjournals.org/ </w:t>
      </w:r>
    </w:p>
    <w:p w:rsidR="005579F7" w:rsidRDefault="00622165">
      <w:pPr>
        <w:numPr>
          <w:ilvl w:val="0"/>
          <w:numId w:val="6"/>
        </w:numPr>
        <w:spacing w:after="3" w:line="241" w:lineRule="auto"/>
        <w:ind w:right="0" w:hanging="641"/>
        <w:jc w:val="left"/>
      </w:pPr>
      <w:r>
        <w:t xml:space="preserve">Ando Y, Coelho T, </w:t>
      </w:r>
      <w:proofErr w:type="spellStart"/>
      <w:r>
        <w:t>Berk</w:t>
      </w:r>
      <w:proofErr w:type="spellEnd"/>
      <w:r>
        <w:t xml:space="preserve"> JL, Cruz MW, </w:t>
      </w:r>
      <w:proofErr w:type="spellStart"/>
      <w:r>
        <w:t>Ericzon</w:t>
      </w:r>
      <w:proofErr w:type="spellEnd"/>
      <w:r>
        <w:t xml:space="preserve"> BG, Ikeda SI, et al. </w:t>
      </w:r>
      <w:proofErr w:type="spellStart"/>
      <w:r>
        <w:t>Guideline</w:t>
      </w:r>
      <w:proofErr w:type="spellEnd"/>
      <w:r>
        <w:t xml:space="preserve"> </w:t>
      </w:r>
      <w:proofErr w:type="spellStart"/>
      <w:r>
        <w:t>of</w:t>
      </w:r>
      <w:proofErr w:type="spellEnd"/>
      <w:r>
        <w:t xml:space="preserve"> </w:t>
      </w:r>
      <w:proofErr w:type="spellStart"/>
      <w:r>
        <w:t>transthyretin-related</w:t>
      </w:r>
      <w:proofErr w:type="spellEnd"/>
      <w:r>
        <w:t xml:space="preserve"> </w:t>
      </w:r>
      <w:proofErr w:type="spellStart"/>
      <w:r>
        <w:t>hereditary</w:t>
      </w:r>
      <w:proofErr w:type="spellEnd"/>
      <w:r>
        <w:t xml:space="preserve"> </w:t>
      </w:r>
      <w:proofErr w:type="spellStart"/>
      <w:r>
        <w:t>amyloidosis</w:t>
      </w:r>
      <w:proofErr w:type="spellEnd"/>
      <w:r>
        <w:t xml:space="preserve"> for </w:t>
      </w:r>
      <w:proofErr w:type="spellStart"/>
      <w:r>
        <w:t>clinicians</w:t>
      </w:r>
      <w:proofErr w:type="spellEnd"/>
      <w:r>
        <w:t xml:space="preserve">. Vol. 8, </w:t>
      </w:r>
      <w:proofErr w:type="spellStart"/>
      <w:r>
        <w:t>Orphanet</w:t>
      </w:r>
      <w:proofErr w:type="spellEnd"/>
      <w:r>
        <w:t xml:space="preserve"> </w:t>
      </w:r>
      <w:proofErr w:type="spellStart"/>
      <w:r>
        <w:t>Journal</w:t>
      </w:r>
      <w:proofErr w:type="spellEnd"/>
      <w:r>
        <w:t xml:space="preserve"> </w:t>
      </w:r>
      <w:proofErr w:type="spellStart"/>
      <w:r>
        <w:t>of</w:t>
      </w:r>
      <w:proofErr w:type="spellEnd"/>
      <w:r>
        <w:t xml:space="preserve"> </w:t>
      </w:r>
      <w:proofErr w:type="spellStart"/>
      <w:r>
        <w:t>Rare</w:t>
      </w:r>
      <w:proofErr w:type="spellEnd"/>
      <w:r>
        <w:t xml:space="preserve"> </w:t>
      </w:r>
      <w:proofErr w:type="spellStart"/>
      <w:r>
        <w:t>Diseases</w:t>
      </w:r>
      <w:proofErr w:type="spellEnd"/>
      <w:r>
        <w:t xml:space="preserve">. 2013.  </w:t>
      </w:r>
    </w:p>
    <w:p w:rsidR="005579F7" w:rsidRPr="00B1535A" w:rsidRDefault="00622165">
      <w:pPr>
        <w:numPr>
          <w:ilvl w:val="0"/>
          <w:numId w:val="6"/>
        </w:numPr>
        <w:spacing w:after="3" w:line="241" w:lineRule="auto"/>
        <w:ind w:right="0" w:hanging="641"/>
        <w:jc w:val="left"/>
        <w:rPr>
          <w:lang w:val="en-US"/>
        </w:rPr>
      </w:pPr>
      <w:r>
        <w:t>Adams D, Ando Y,</w:t>
      </w:r>
      <w:r>
        <w:t xml:space="preserve"> Beirão JM, Coelho T, </w:t>
      </w:r>
      <w:proofErr w:type="spellStart"/>
      <w:r>
        <w:t>Gertz</w:t>
      </w:r>
      <w:proofErr w:type="spellEnd"/>
      <w:r>
        <w:t xml:space="preserve"> MA, </w:t>
      </w:r>
      <w:proofErr w:type="spellStart"/>
      <w:r>
        <w:t>Gillmore</w:t>
      </w:r>
      <w:proofErr w:type="spellEnd"/>
      <w:r>
        <w:t xml:space="preserve"> JD, et al. Expert consensus </w:t>
      </w:r>
      <w:proofErr w:type="spellStart"/>
      <w:r>
        <w:t>recommendations</w:t>
      </w:r>
      <w:proofErr w:type="spellEnd"/>
      <w:r>
        <w:t xml:space="preserve"> </w:t>
      </w:r>
      <w:proofErr w:type="spellStart"/>
      <w:r>
        <w:t>to</w:t>
      </w:r>
      <w:proofErr w:type="spellEnd"/>
      <w:r>
        <w:t xml:space="preserve"> improve </w:t>
      </w:r>
      <w:proofErr w:type="spellStart"/>
      <w:r>
        <w:t>diagnosis</w:t>
      </w:r>
      <w:proofErr w:type="spellEnd"/>
      <w:r>
        <w:t xml:space="preserve"> </w:t>
      </w:r>
      <w:proofErr w:type="spellStart"/>
      <w:r>
        <w:t>of</w:t>
      </w:r>
      <w:proofErr w:type="spellEnd"/>
      <w:r>
        <w:t xml:space="preserve"> ATTR </w:t>
      </w:r>
      <w:proofErr w:type="spellStart"/>
      <w:r>
        <w:t>amyloidosis</w:t>
      </w:r>
      <w:proofErr w:type="spellEnd"/>
      <w:r>
        <w:t xml:space="preserve"> </w:t>
      </w:r>
      <w:proofErr w:type="spellStart"/>
      <w:r>
        <w:t>with</w:t>
      </w:r>
      <w:proofErr w:type="spellEnd"/>
      <w:r>
        <w:t xml:space="preserve"> </w:t>
      </w:r>
      <w:proofErr w:type="spellStart"/>
      <w:r>
        <w:t>polyneuropathy</w:t>
      </w:r>
      <w:proofErr w:type="spellEnd"/>
      <w:r>
        <w:t xml:space="preserve">. </w:t>
      </w:r>
      <w:r w:rsidRPr="00B1535A">
        <w:rPr>
          <w:lang w:val="en-US"/>
        </w:rPr>
        <w:t xml:space="preserve">Vol. 268, Journal of Neurology. Springer Science and Business Media Deutschland GmbH; 2021. p. 2109–22.  </w:t>
      </w:r>
    </w:p>
    <w:p w:rsidR="005579F7" w:rsidRDefault="00622165">
      <w:pPr>
        <w:numPr>
          <w:ilvl w:val="0"/>
          <w:numId w:val="6"/>
        </w:numPr>
        <w:spacing w:after="3" w:line="241" w:lineRule="auto"/>
        <w:ind w:right="0" w:hanging="641"/>
        <w:jc w:val="left"/>
      </w:pPr>
      <w:proofErr w:type="spellStart"/>
      <w:r>
        <w:t>Har</w:t>
      </w:r>
      <w:r>
        <w:t>aoka</w:t>
      </w:r>
      <w:proofErr w:type="spellEnd"/>
      <w:r>
        <w:t xml:space="preserve"> K, Ando Y, Ando E, </w:t>
      </w:r>
      <w:proofErr w:type="spellStart"/>
      <w:r>
        <w:t>Sandgren</w:t>
      </w:r>
      <w:proofErr w:type="spellEnd"/>
      <w:r>
        <w:t xml:space="preserve"> O, Hirata A, Nakamura M, et al. </w:t>
      </w:r>
      <w:proofErr w:type="spellStart"/>
      <w:r>
        <w:t>Amyloid</w:t>
      </w:r>
      <w:proofErr w:type="spellEnd"/>
      <w:r>
        <w:t xml:space="preserve"> </w:t>
      </w:r>
      <w:proofErr w:type="spellStart"/>
      <w:r>
        <w:t>deposition</w:t>
      </w:r>
      <w:proofErr w:type="spellEnd"/>
      <w:r>
        <w:t xml:space="preserve"> in ocular </w:t>
      </w:r>
      <w:proofErr w:type="spellStart"/>
      <w:r>
        <w:t>tissues</w:t>
      </w:r>
      <w:proofErr w:type="spellEnd"/>
      <w:r>
        <w:t xml:space="preserve"> </w:t>
      </w:r>
      <w:proofErr w:type="spellStart"/>
      <w:r>
        <w:t>of</w:t>
      </w:r>
      <w:proofErr w:type="spellEnd"/>
      <w:r>
        <w:t xml:space="preserve"> </w:t>
      </w:r>
      <w:proofErr w:type="spellStart"/>
      <w:r>
        <w:t>patients</w:t>
      </w:r>
      <w:proofErr w:type="spellEnd"/>
      <w:r>
        <w:t xml:space="preserve"> </w:t>
      </w:r>
      <w:proofErr w:type="spellStart"/>
      <w:r>
        <w:t>with</w:t>
      </w:r>
      <w:proofErr w:type="spellEnd"/>
      <w:r>
        <w:t xml:space="preserve"> familial </w:t>
      </w:r>
      <w:proofErr w:type="spellStart"/>
      <w:r>
        <w:t>amyloidotic</w:t>
      </w:r>
      <w:proofErr w:type="spellEnd"/>
      <w:r>
        <w:t xml:space="preserve"> </w:t>
      </w:r>
      <w:proofErr w:type="spellStart"/>
      <w:r>
        <w:t>polyneuropathy</w:t>
      </w:r>
      <w:proofErr w:type="spellEnd"/>
      <w:r>
        <w:t xml:space="preserve"> (FAP). </w:t>
      </w:r>
      <w:proofErr w:type="spellStart"/>
      <w:r>
        <w:t>Amyloid</w:t>
      </w:r>
      <w:proofErr w:type="spellEnd"/>
      <w:r>
        <w:t xml:space="preserve">. 2002;9(3):183–9.  </w:t>
      </w:r>
    </w:p>
    <w:p w:rsidR="005579F7" w:rsidRDefault="00622165">
      <w:pPr>
        <w:numPr>
          <w:ilvl w:val="0"/>
          <w:numId w:val="6"/>
        </w:numPr>
        <w:spacing w:after="3" w:line="241" w:lineRule="auto"/>
        <w:ind w:right="0" w:hanging="641"/>
        <w:jc w:val="left"/>
      </w:pPr>
      <w:proofErr w:type="spellStart"/>
      <w:r w:rsidRPr="00B1535A">
        <w:rPr>
          <w:lang w:val="en-US"/>
        </w:rPr>
        <w:lastRenderedPageBreak/>
        <w:t>Rowczenio</w:t>
      </w:r>
      <w:proofErr w:type="spellEnd"/>
      <w:r w:rsidRPr="00B1535A">
        <w:rPr>
          <w:lang w:val="en-US"/>
        </w:rPr>
        <w:t xml:space="preserve"> DM, Noor I, </w:t>
      </w:r>
      <w:proofErr w:type="spellStart"/>
      <w:r w:rsidRPr="00B1535A">
        <w:rPr>
          <w:lang w:val="en-US"/>
        </w:rPr>
        <w:t>Gillmore</w:t>
      </w:r>
      <w:proofErr w:type="spellEnd"/>
      <w:r w:rsidRPr="00B1535A">
        <w:rPr>
          <w:lang w:val="en-US"/>
        </w:rPr>
        <w:t xml:space="preserve"> JD, </w:t>
      </w:r>
      <w:proofErr w:type="spellStart"/>
      <w:r w:rsidRPr="00B1535A">
        <w:rPr>
          <w:lang w:val="en-US"/>
        </w:rPr>
        <w:t>Lachmann</w:t>
      </w:r>
      <w:proofErr w:type="spellEnd"/>
      <w:r w:rsidRPr="00B1535A">
        <w:rPr>
          <w:lang w:val="en-US"/>
        </w:rPr>
        <w:t xml:space="preserve"> HJ, Whelan C, Hawkins </w:t>
      </w:r>
      <w:r w:rsidRPr="00B1535A">
        <w:rPr>
          <w:lang w:val="en-US"/>
        </w:rPr>
        <w:t xml:space="preserve">PN, et al. </w:t>
      </w:r>
      <w:r>
        <w:t xml:space="preserve">Online registry for </w:t>
      </w:r>
      <w:proofErr w:type="spellStart"/>
      <w:r>
        <w:t>mutations</w:t>
      </w:r>
      <w:proofErr w:type="spellEnd"/>
      <w:r>
        <w:t xml:space="preserve"> in </w:t>
      </w:r>
      <w:proofErr w:type="spellStart"/>
      <w:r>
        <w:t>hereditary</w:t>
      </w:r>
      <w:proofErr w:type="spellEnd"/>
      <w:r>
        <w:t xml:space="preserve"> </w:t>
      </w:r>
      <w:proofErr w:type="spellStart"/>
      <w:r>
        <w:t>amyloidosis</w:t>
      </w:r>
      <w:proofErr w:type="spellEnd"/>
      <w:r>
        <w:t xml:space="preserve"> </w:t>
      </w:r>
      <w:proofErr w:type="spellStart"/>
      <w:r>
        <w:t>including</w:t>
      </w:r>
      <w:proofErr w:type="spellEnd"/>
      <w:r>
        <w:t xml:space="preserve"> </w:t>
      </w:r>
      <w:proofErr w:type="spellStart"/>
      <w:r>
        <w:t>nomenclature</w:t>
      </w:r>
      <w:proofErr w:type="spellEnd"/>
      <w:r>
        <w:t xml:space="preserve"> </w:t>
      </w:r>
      <w:proofErr w:type="spellStart"/>
      <w:r>
        <w:t>recommendations</w:t>
      </w:r>
      <w:proofErr w:type="spellEnd"/>
      <w:r>
        <w:t xml:space="preserve">. Hum </w:t>
      </w:r>
      <w:proofErr w:type="spellStart"/>
      <w:r>
        <w:t>Mutat</w:t>
      </w:r>
      <w:proofErr w:type="spellEnd"/>
      <w:r>
        <w:t xml:space="preserve">. 2014;35(9).  </w:t>
      </w:r>
    </w:p>
    <w:p w:rsidR="005579F7" w:rsidRDefault="00622165">
      <w:pPr>
        <w:numPr>
          <w:ilvl w:val="0"/>
          <w:numId w:val="6"/>
        </w:numPr>
        <w:spacing w:after="3" w:line="241" w:lineRule="auto"/>
        <w:ind w:right="0" w:hanging="641"/>
        <w:jc w:val="left"/>
      </w:pPr>
      <w:proofErr w:type="spellStart"/>
      <w:r>
        <w:t>Parman</w:t>
      </w:r>
      <w:proofErr w:type="spellEnd"/>
      <w:r>
        <w:t xml:space="preserve"> Y, Adams D, </w:t>
      </w:r>
      <w:proofErr w:type="spellStart"/>
      <w:r>
        <w:t>Obici</w:t>
      </w:r>
      <w:proofErr w:type="spellEnd"/>
      <w:r>
        <w:t xml:space="preserve"> L, </w:t>
      </w:r>
      <w:proofErr w:type="spellStart"/>
      <w:r>
        <w:t>Galán</w:t>
      </w:r>
      <w:proofErr w:type="spellEnd"/>
      <w:r>
        <w:t xml:space="preserve"> L, </w:t>
      </w:r>
      <w:proofErr w:type="spellStart"/>
      <w:r>
        <w:t>Guergueltcheva</w:t>
      </w:r>
      <w:proofErr w:type="spellEnd"/>
      <w:r>
        <w:t xml:space="preserve"> V, </w:t>
      </w:r>
      <w:proofErr w:type="spellStart"/>
      <w:r>
        <w:t>Suhr</w:t>
      </w:r>
      <w:proofErr w:type="spellEnd"/>
      <w:r>
        <w:t xml:space="preserve"> OB, et al. </w:t>
      </w:r>
      <w:proofErr w:type="spellStart"/>
      <w:r>
        <w:t>Sixty</w:t>
      </w:r>
      <w:proofErr w:type="spellEnd"/>
      <w:r>
        <w:t xml:space="preserve"> </w:t>
      </w:r>
      <w:proofErr w:type="spellStart"/>
      <w:r>
        <w:t>years</w:t>
      </w:r>
      <w:proofErr w:type="spellEnd"/>
      <w:r>
        <w:t xml:space="preserve"> </w:t>
      </w:r>
      <w:proofErr w:type="spellStart"/>
      <w:r>
        <w:t>of</w:t>
      </w:r>
      <w:proofErr w:type="spellEnd"/>
      <w:r>
        <w:t xml:space="preserve"> </w:t>
      </w:r>
      <w:proofErr w:type="spellStart"/>
      <w:r>
        <w:t>transthyretin</w:t>
      </w:r>
      <w:proofErr w:type="spellEnd"/>
      <w:r>
        <w:t xml:space="preserve"> familial </w:t>
      </w:r>
      <w:proofErr w:type="spellStart"/>
      <w:r>
        <w:t>amyloid</w:t>
      </w:r>
      <w:proofErr w:type="spellEnd"/>
      <w:r>
        <w:t xml:space="preserve"> </w:t>
      </w:r>
      <w:proofErr w:type="spellStart"/>
      <w:r>
        <w:t>polyneu</w:t>
      </w:r>
      <w:r>
        <w:t>ropathy</w:t>
      </w:r>
      <w:proofErr w:type="spellEnd"/>
      <w:r>
        <w:t xml:space="preserve"> (TTR-FAP) in </w:t>
      </w:r>
      <w:proofErr w:type="spellStart"/>
      <w:r>
        <w:t>Europe</w:t>
      </w:r>
      <w:proofErr w:type="spellEnd"/>
      <w:r>
        <w:t xml:space="preserve">: </w:t>
      </w:r>
      <w:proofErr w:type="spellStart"/>
      <w:r>
        <w:t>Where</w:t>
      </w:r>
      <w:proofErr w:type="spellEnd"/>
      <w:r>
        <w:t xml:space="preserve"> are </w:t>
      </w:r>
      <w:proofErr w:type="spellStart"/>
      <w:r>
        <w:t>we</w:t>
      </w:r>
      <w:proofErr w:type="spellEnd"/>
      <w:r>
        <w:t xml:space="preserve"> </w:t>
      </w:r>
      <w:proofErr w:type="spellStart"/>
      <w:r>
        <w:t>now</w:t>
      </w:r>
      <w:proofErr w:type="spellEnd"/>
      <w:r>
        <w:t xml:space="preserve">? </w:t>
      </w:r>
      <w:r w:rsidRPr="00B1535A">
        <w:rPr>
          <w:lang w:val="en-US"/>
        </w:rPr>
        <w:t xml:space="preserve">A European network approach to defining the epidemiology and management patterns for TTR-FAP. </w:t>
      </w:r>
      <w:proofErr w:type="spellStart"/>
      <w:r>
        <w:t>Curr</w:t>
      </w:r>
      <w:proofErr w:type="spellEnd"/>
      <w:r>
        <w:t xml:space="preserve"> </w:t>
      </w:r>
      <w:proofErr w:type="spellStart"/>
      <w:r>
        <w:t>Opin</w:t>
      </w:r>
      <w:proofErr w:type="spellEnd"/>
      <w:r>
        <w:t xml:space="preserve"> </w:t>
      </w:r>
      <w:proofErr w:type="spellStart"/>
      <w:r>
        <w:t>Neurol</w:t>
      </w:r>
      <w:proofErr w:type="spellEnd"/>
      <w:r>
        <w:t xml:space="preserve">. 2016 Jan 5;29:S3–11.  </w:t>
      </w:r>
    </w:p>
    <w:p w:rsidR="005579F7" w:rsidRDefault="00622165">
      <w:pPr>
        <w:numPr>
          <w:ilvl w:val="0"/>
          <w:numId w:val="6"/>
        </w:numPr>
        <w:spacing w:after="3" w:line="241" w:lineRule="auto"/>
        <w:ind w:right="0" w:hanging="641"/>
        <w:jc w:val="left"/>
      </w:pPr>
      <w:r w:rsidRPr="00B1535A">
        <w:rPr>
          <w:lang w:val="en-US"/>
        </w:rPr>
        <w:t xml:space="preserve">Ikeda SI, </w:t>
      </w:r>
      <w:proofErr w:type="spellStart"/>
      <w:r w:rsidRPr="00B1535A">
        <w:rPr>
          <w:lang w:val="en-US"/>
        </w:rPr>
        <w:t>Nakazato</w:t>
      </w:r>
      <w:proofErr w:type="spellEnd"/>
      <w:r w:rsidRPr="00B1535A">
        <w:rPr>
          <w:lang w:val="en-US"/>
        </w:rPr>
        <w:t xml:space="preserve"> M, Ando Y, </w:t>
      </w:r>
      <w:proofErr w:type="spellStart"/>
      <w:r w:rsidRPr="00B1535A">
        <w:rPr>
          <w:lang w:val="en-US"/>
        </w:rPr>
        <w:t>Sobue</w:t>
      </w:r>
      <w:proofErr w:type="spellEnd"/>
      <w:r w:rsidRPr="00B1535A">
        <w:rPr>
          <w:lang w:val="en-US"/>
        </w:rPr>
        <w:t xml:space="preserve"> G. Views &amp; Reviews CME Familial transt</w:t>
      </w:r>
      <w:r w:rsidRPr="00B1535A">
        <w:rPr>
          <w:lang w:val="en-US"/>
        </w:rPr>
        <w:t xml:space="preserve">hyretin-type amyloid polyneuropathy in Japan Clinical and genetic heterogeneity. </w:t>
      </w:r>
      <w:r>
        <w:t xml:space="preserve">2002.  </w:t>
      </w:r>
    </w:p>
    <w:p w:rsidR="005579F7" w:rsidRDefault="00622165">
      <w:pPr>
        <w:numPr>
          <w:ilvl w:val="0"/>
          <w:numId w:val="6"/>
        </w:numPr>
        <w:spacing w:after="3" w:line="241" w:lineRule="auto"/>
        <w:ind w:right="0" w:hanging="641"/>
        <w:jc w:val="left"/>
      </w:pPr>
      <w:r>
        <w:t xml:space="preserve">Lavigne-Moreira C, Marques VD, Gonçalves MVM, de Oliveira MF, </w:t>
      </w:r>
      <w:proofErr w:type="spellStart"/>
      <w:r>
        <w:t>Tomaselli</w:t>
      </w:r>
      <w:proofErr w:type="spellEnd"/>
      <w:r>
        <w:t xml:space="preserve"> PJ, </w:t>
      </w:r>
      <w:proofErr w:type="spellStart"/>
      <w:r>
        <w:t>Nunez</w:t>
      </w:r>
      <w:proofErr w:type="spellEnd"/>
      <w:r>
        <w:t xml:space="preserve"> JC, et al. The </w:t>
      </w:r>
      <w:proofErr w:type="spellStart"/>
      <w:r>
        <w:t>genetic</w:t>
      </w:r>
      <w:proofErr w:type="spellEnd"/>
      <w:r>
        <w:t xml:space="preserve"> </w:t>
      </w:r>
      <w:proofErr w:type="spellStart"/>
      <w:r>
        <w:t>heterogeneity</w:t>
      </w:r>
      <w:proofErr w:type="spellEnd"/>
      <w:r>
        <w:t xml:space="preserve"> </w:t>
      </w:r>
      <w:proofErr w:type="spellStart"/>
      <w:r>
        <w:t>of</w:t>
      </w:r>
      <w:proofErr w:type="spellEnd"/>
      <w:r>
        <w:t xml:space="preserve"> </w:t>
      </w:r>
      <w:proofErr w:type="spellStart"/>
      <w:r>
        <w:t>hereditary</w:t>
      </w:r>
      <w:proofErr w:type="spellEnd"/>
      <w:r>
        <w:t xml:space="preserve"> </w:t>
      </w:r>
      <w:proofErr w:type="spellStart"/>
      <w:r>
        <w:t>transthyretin</w:t>
      </w:r>
      <w:proofErr w:type="spellEnd"/>
      <w:r>
        <w:t xml:space="preserve"> </w:t>
      </w:r>
      <w:proofErr w:type="spellStart"/>
      <w:r>
        <w:t>amyloidosis</w:t>
      </w:r>
      <w:proofErr w:type="spellEnd"/>
      <w:r>
        <w:t xml:space="preserve"> in a sam</w:t>
      </w:r>
      <w:r>
        <w:t xml:space="preserve">ple </w:t>
      </w:r>
      <w:proofErr w:type="spellStart"/>
      <w:r>
        <w:t>of</w:t>
      </w:r>
      <w:proofErr w:type="spellEnd"/>
      <w:r>
        <w:t xml:space="preserve"> </w:t>
      </w:r>
      <w:proofErr w:type="spellStart"/>
      <w:r>
        <w:t>the</w:t>
      </w:r>
      <w:proofErr w:type="spellEnd"/>
      <w:r>
        <w:t xml:space="preserve"> </w:t>
      </w:r>
      <w:proofErr w:type="spellStart"/>
      <w:r>
        <w:t>Brazilian</w:t>
      </w:r>
      <w:proofErr w:type="spellEnd"/>
      <w:r>
        <w:t xml:space="preserve"> </w:t>
      </w:r>
      <w:proofErr w:type="spellStart"/>
      <w:r>
        <w:t>population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the</w:t>
      </w:r>
      <w:proofErr w:type="spellEnd"/>
      <w:r>
        <w:t xml:space="preserve"> </w:t>
      </w:r>
      <w:proofErr w:type="spellStart"/>
      <w:r>
        <w:t>Peripheral</w:t>
      </w:r>
      <w:proofErr w:type="spellEnd"/>
      <w:r>
        <w:t xml:space="preserve"> </w:t>
      </w:r>
      <w:proofErr w:type="spellStart"/>
      <w:r>
        <w:t>Nervous</w:t>
      </w:r>
      <w:proofErr w:type="spellEnd"/>
      <w:r>
        <w:t xml:space="preserve"> System. 2018 </w:t>
      </w:r>
      <w:proofErr w:type="spellStart"/>
      <w:r>
        <w:t>Jun</w:t>
      </w:r>
      <w:proofErr w:type="spellEnd"/>
      <w:r>
        <w:t xml:space="preserve"> 1;23(2):134–7.  </w:t>
      </w:r>
    </w:p>
    <w:p w:rsidR="005579F7" w:rsidRDefault="00622165">
      <w:pPr>
        <w:numPr>
          <w:ilvl w:val="0"/>
          <w:numId w:val="6"/>
        </w:numPr>
        <w:spacing w:line="259" w:lineRule="auto"/>
        <w:ind w:right="0" w:hanging="641"/>
        <w:jc w:val="left"/>
      </w:pPr>
      <w:proofErr w:type="spellStart"/>
      <w:r w:rsidRPr="00B1535A">
        <w:rPr>
          <w:lang w:val="en-US"/>
        </w:rPr>
        <w:t>Yoshiki</w:t>
      </w:r>
      <w:proofErr w:type="spellEnd"/>
      <w:r w:rsidRPr="00B1535A">
        <w:rPr>
          <w:lang w:val="en-US"/>
        </w:rPr>
        <w:t xml:space="preserve"> </w:t>
      </w:r>
      <w:proofErr w:type="spellStart"/>
      <w:r w:rsidRPr="00B1535A">
        <w:rPr>
          <w:lang w:val="en-US"/>
        </w:rPr>
        <w:t>Sekijima</w:t>
      </w:r>
      <w:proofErr w:type="spellEnd"/>
      <w:r w:rsidRPr="00B1535A">
        <w:rPr>
          <w:lang w:val="en-US"/>
        </w:rPr>
        <w:t xml:space="preserve">. Hereditary Transthyretin Amyloidosis. </w:t>
      </w:r>
      <w:proofErr w:type="spellStart"/>
      <w:r>
        <w:t>GeneReviews</w:t>
      </w:r>
      <w:proofErr w:type="spellEnd"/>
      <w:r>
        <w:t xml:space="preserve">® </w:t>
      </w:r>
    </w:p>
    <w:p w:rsidR="005579F7" w:rsidRDefault="00622165">
      <w:pPr>
        <w:spacing w:line="259" w:lineRule="auto"/>
        <w:ind w:left="651" w:right="0"/>
      </w:pPr>
      <w:r w:rsidRPr="00B1535A">
        <w:rPr>
          <w:lang w:val="en-US"/>
        </w:rPr>
        <w:t xml:space="preserve">[Internet] Seattle (WA): University of Washington, Seattle. </w:t>
      </w:r>
      <w:r>
        <w:t xml:space="preserve">2021;  </w:t>
      </w:r>
    </w:p>
    <w:p w:rsidR="005579F7" w:rsidRDefault="00622165">
      <w:pPr>
        <w:numPr>
          <w:ilvl w:val="0"/>
          <w:numId w:val="6"/>
        </w:numPr>
        <w:spacing w:after="3" w:line="241" w:lineRule="auto"/>
        <w:ind w:right="0" w:hanging="641"/>
        <w:jc w:val="left"/>
      </w:pPr>
      <w:proofErr w:type="spellStart"/>
      <w:r w:rsidRPr="00B1535A">
        <w:rPr>
          <w:lang w:val="en-US"/>
        </w:rPr>
        <w:t>Beiraõ</w:t>
      </w:r>
      <w:proofErr w:type="spellEnd"/>
      <w:r w:rsidRPr="00B1535A">
        <w:rPr>
          <w:lang w:val="en-US"/>
        </w:rPr>
        <w:t xml:space="preserve"> JM, </w:t>
      </w:r>
      <w:proofErr w:type="spellStart"/>
      <w:r w:rsidRPr="00B1535A">
        <w:rPr>
          <w:lang w:val="en-US"/>
        </w:rPr>
        <w:t>Malhei</w:t>
      </w:r>
      <w:r w:rsidRPr="00B1535A">
        <w:rPr>
          <w:lang w:val="en-US"/>
        </w:rPr>
        <w:t>ro</w:t>
      </w:r>
      <w:proofErr w:type="spellEnd"/>
      <w:r w:rsidRPr="00B1535A">
        <w:rPr>
          <w:lang w:val="en-US"/>
        </w:rPr>
        <w:t xml:space="preserve"> J, </w:t>
      </w:r>
      <w:proofErr w:type="spellStart"/>
      <w:r w:rsidRPr="00B1535A">
        <w:rPr>
          <w:lang w:val="en-US"/>
        </w:rPr>
        <w:t>Lemos</w:t>
      </w:r>
      <w:proofErr w:type="spellEnd"/>
      <w:r w:rsidRPr="00B1535A">
        <w:rPr>
          <w:lang w:val="en-US"/>
        </w:rPr>
        <w:t xml:space="preserve"> C, </w:t>
      </w:r>
      <w:proofErr w:type="spellStart"/>
      <w:r w:rsidRPr="00B1535A">
        <w:rPr>
          <w:lang w:val="en-US"/>
        </w:rPr>
        <w:t>Beiraõ</w:t>
      </w:r>
      <w:proofErr w:type="spellEnd"/>
      <w:r w:rsidRPr="00B1535A">
        <w:rPr>
          <w:lang w:val="en-US"/>
        </w:rPr>
        <w:t xml:space="preserve"> I, Costa P, Torres P. Ophthalmological manifestations in hereditary transthyretin (ATTR V30M) carriers: A review of 513 cases. </w:t>
      </w:r>
      <w:r>
        <w:t xml:space="preserve">Vol. 22, </w:t>
      </w:r>
      <w:proofErr w:type="spellStart"/>
      <w:r>
        <w:t>Amyloid</w:t>
      </w:r>
      <w:proofErr w:type="spellEnd"/>
      <w:r>
        <w:t xml:space="preserve">. Informa </w:t>
      </w:r>
      <w:proofErr w:type="spellStart"/>
      <w:r>
        <w:t>Healthcare</w:t>
      </w:r>
      <w:proofErr w:type="spellEnd"/>
      <w:r>
        <w:t xml:space="preserve">; 2015. p. 117–22.  </w:t>
      </w:r>
    </w:p>
    <w:p w:rsidR="005579F7" w:rsidRDefault="00622165">
      <w:pPr>
        <w:numPr>
          <w:ilvl w:val="0"/>
          <w:numId w:val="6"/>
        </w:numPr>
        <w:spacing w:after="3" w:line="241" w:lineRule="auto"/>
        <w:ind w:right="0" w:hanging="641"/>
        <w:jc w:val="left"/>
      </w:pPr>
      <w:proofErr w:type="spellStart"/>
      <w:r>
        <w:t>Minnella</w:t>
      </w:r>
      <w:proofErr w:type="spellEnd"/>
      <w:r>
        <w:t xml:space="preserve"> AM, </w:t>
      </w:r>
      <w:proofErr w:type="spellStart"/>
      <w:r>
        <w:t>Rissotto</w:t>
      </w:r>
      <w:proofErr w:type="spellEnd"/>
      <w:r>
        <w:t xml:space="preserve"> R, </w:t>
      </w:r>
      <w:proofErr w:type="spellStart"/>
      <w:r>
        <w:t>Antoniazzi</w:t>
      </w:r>
      <w:proofErr w:type="spellEnd"/>
      <w:r>
        <w:t xml:space="preserve"> E, Di </w:t>
      </w:r>
      <w:proofErr w:type="spellStart"/>
      <w:r>
        <w:t>Girolamo</w:t>
      </w:r>
      <w:proofErr w:type="spellEnd"/>
      <w:r>
        <w:t xml:space="preserve"> M, </w:t>
      </w:r>
      <w:proofErr w:type="spellStart"/>
      <w:r>
        <w:t>Luigetti</w:t>
      </w:r>
      <w:proofErr w:type="spellEnd"/>
      <w:r>
        <w:t xml:space="preserve"> M, </w:t>
      </w:r>
      <w:proofErr w:type="spellStart"/>
      <w:r>
        <w:t>Maceroni</w:t>
      </w:r>
      <w:proofErr w:type="spellEnd"/>
      <w:r>
        <w:t xml:space="preserve"> M, et al. Ocular </w:t>
      </w:r>
      <w:proofErr w:type="spellStart"/>
      <w:r>
        <w:t>Involvement</w:t>
      </w:r>
      <w:proofErr w:type="spellEnd"/>
      <w:r>
        <w:t xml:space="preserve"> in </w:t>
      </w:r>
      <w:proofErr w:type="spellStart"/>
      <w:r>
        <w:t>Hereditary</w:t>
      </w:r>
      <w:proofErr w:type="spellEnd"/>
      <w:r>
        <w:t xml:space="preserve"> </w:t>
      </w:r>
      <w:proofErr w:type="spellStart"/>
      <w:r>
        <w:t>Amyloidosis</w:t>
      </w:r>
      <w:proofErr w:type="spellEnd"/>
      <w:r>
        <w:t>. Vol. 12, Genes. NLM (</w:t>
      </w:r>
      <w:proofErr w:type="spellStart"/>
      <w:r>
        <w:t>Medline</w:t>
      </w:r>
      <w:proofErr w:type="spellEnd"/>
      <w:r>
        <w:t xml:space="preserve">); 2021.  </w:t>
      </w:r>
    </w:p>
    <w:p w:rsidR="005579F7" w:rsidRPr="00B1535A" w:rsidRDefault="00622165">
      <w:pPr>
        <w:numPr>
          <w:ilvl w:val="0"/>
          <w:numId w:val="6"/>
        </w:numPr>
        <w:spacing w:line="241" w:lineRule="auto"/>
        <w:ind w:right="0" w:hanging="641"/>
        <w:jc w:val="left"/>
        <w:rPr>
          <w:lang w:val="en-US"/>
        </w:rPr>
      </w:pPr>
      <w:r w:rsidRPr="00B1535A">
        <w:rPr>
          <w:lang w:val="en-US"/>
        </w:rPr>
        <w:t>Ando E, Ando Y, Okamura R, Uchino M, Ando M, Negi A. Ocular manifestations of familial amyloidotic polyneuropathy type I: long term foll</w:t>
      </w:r>
      <w:r w:rsidRPr="00B1535A">
        <w:rPr>
          <w:lang w:val="en-US"/>
        </w:rPr>
        <w:t xml:space="preserve">ow up </w:t>
      </w:r>
    </w:p>
    <w:p w:rsidR="005579F7" w:rsidRDefault="00622165">
      <w:pPr>
        <w:spacing w:after="3" w:line="241" w:lineRule="auto"/>
        <w:ind w:left="-15" w:right="0" w:firstLine="641"/>
        <w:jc w:val="left"/>
      </w:pPr>
      <w:r w:rsidRPr="00B1535A">
        <w:rPr>
          <w:lang w:val="en-US"/>
        </w:rPr>
        <w:t xml:space="preserve">[Internet]. Vol. 81, Br J </w:t>
      </w:r>
      <w:proofErr w:type="spellStart"/>
      <w:r w:rsidRPr="00B1535A">
        <w:rPr>
          <w:lang w:val="en-US"/>
        </w:rPr>
        <w:t>Ophthalmol</w:t>
      </w:r>
      <w:proofErr w:type="spellEnd"/>
      <w:r w:rsidRPr="00B1535A">
        <w:rPr>
          <w:lang w:val="en-US"/>
        </w:rPr>
        <w:t xml:space="preserve">. </w:t>
      </w:r>
      <w:r>
        <w:t xml:space="preserve">1997. </w:t>
      </w:r>
      <w:proofErr w:type="spellStart"/>
      <w:r>
        <w:t>Available</w:t>
      </w:r>
      <w:proofErr w:type="spellEnd"/>
      <w:r>
        <w:t xml:space="preserve"> </w:t>
      </w:r>
      <w:proofErr w:type="spellStart"/>
      <w:r>
        <w:t>from</w:t>
      </w:r>
      <w:proofErr w:type="spellEnd"/>
      <w:r>
        <w:t xml:space="preserve">: http://bjo.bmj.com/ 13.  </w:t>
      </w:r>
      <w:proofErr w:type="spellStart"/>
      <w:r>
        <w:t>Minnella</w:t>
      </w:r>
      <w:proofErr w:type="spellEnd"/>
      <w:r>
        <w:t xml:space="preserve"> AM, </w:t>
      </w:r>
      <w:proofErr w:type="spellStart"/>
      <w:r>
        <w:t>Rissotto</w:t>
      </w:r>
      <w:proofErr w:type="spellEnd"/>
      <w:r>
        <w:t xml:space="preserve"> R, </w:t>
      </w:r>
      <w:proofErr w:type="spellStart"/>
      <w:r>
        <w:t>Maceroni</w:t>
      </w:r>
      <w:proofErr w:type="spellEnd"/>
      <w:r>
        <w:t xml:space="preserve"> M, Romano </w:t>
      </w:r>
      <w:proofErr w:type="gramStart"/>
      <w:r>
        <w:t xml:space="preserve">A, </w:t>
      </w:r>
      <w:proofErr w:type="spellStart"/>
      <w:r>
        <w:t>Fasciani</w:t>
      </w:r>
      <w:proofErr w:type="spellEnd"/>
      <w:proofErr w:type="gramEnd"/>
      <w:r>
        <w:t xml:space="preserve"> R, </w:t>
      </w:r>
      <w:proofErr w:type="spellStart"/>
      <w:r>
        <w:t>Luigetti</w:t>
      </w:r>
      <w:proofErr w:type="spellEnd"/>
      <w:r>
        <w:t xml:space="preserve"> M, et al. Ocular </w:t>
      </w:r>
      <w:proofErr w:type="spellStart"/>
      <w:r>
        <w:t>involvement</w:t>
      </w:r>
      <w:proofErr w:type="spellEnd"/>
      <w:r>
        <w:t xml:space="preserve"> in </w:t>
      </w:r>
      <w:proofErr w:type="spellStart"/>
      <w:r>
        <w:t>hereditary</w:t>
      </w:r>
      <w:proofErr w:type="spellEnd"/>
      <w:r>
        <w:t xml:space="preserve"> </w:t>
      </w:r>
      <w:proofErr w:type="spellStart"/>
      <w:r>
        <w:t>transthyretin</w:t>
      </w:r>
      <w:proofErr w:type="spellEnd"/>
      <w:r>
        <w:t xml:space="preserve"> </w:t>
      </w:r>
      <w:proofErr w:type="spellStart"/>
      <w:r>
        <w:t>amyloidosis</w:t>
      </w:r>
      <w:proofErr w:type="spellEnd"/>
      <w:r>
        <w:t xml:space="preserve">: A case series </w:t>
      </w:r>
      <w:proofErr w:type="spellStart"/>
      <w:r>
        <w:t>describing</w:t>
      </w:r>
      <w:proofErr w:type="spellEnd"/>
      <w:r>
        <w:t xml:space="preserve"> n</w:t>
      </w:r>
      <w:r>
        <w:t xml:space="preserve">ovel </w:t>
      </w:r>
      <w:proofErr w:type="spellStart"/>
      <w:r>
        <w:t>potential</w:t>
      </w:r>
      <w:proofErr w:type="spellEnd"/>
      <w:r>
        <w:t xml:space="preserve"> </w:t>
      </w:r>
      <w:proofErr w:type="spellStart"/>
      <w:r>
        <w:t>biomarkers</w:t>
      </w:r>
      <w:proofErr w:type="spellEnd"/>
      <w:r>
        <w:t xml:space="preserve">. Genes (Basel). 2021 </w:t>
      </w:r>
      <w:proofErr w:type="spellStart"/>
      <w:r>
        <w:t>Jun</w:t>
      </w:r>
      <w:proofErr w:type="spellEnd"/>
      <w:r>
        <w:t xml:space="preserve"> 1;12(6).  </w:t>
      </w:r>
    </w:p>
    <w:p w:rsidR="005579F7" w:rsidRDefault="00622165">
      <w:pPr>
        <w:numPr>
          <w:ilvl w:val="0"/>
          <w:numId w:val="7"/>
        </w:numPr>
        <w:spacing w:after="3" w:line="241" w:lineRule="auto"/>
        <w:ind w:right="0" w:hanging="641"/>
        <w:jc w:val="left"/>
      </w:pPr>
      <w:r>
        <w:t xml:space="preserve">Reynolds MM, </w:t>
      </w:r>
      <w:proofErr w:type="spellStart"/>
      <w:r>
        <w:t>Veverka</w:t>
      </w:r>
      <w:proofErr w:type="spellEnd"/>
      <w:r>
        <w:t xml:space="preserve"> KK, </w:t>
      </w:r>
      <w:proofErr w:type="spellStart"/>
      <w:r>
        <w:t>Gertz</w:t>
      </w:r>
      <w:proofErr w:type="spellEnd"/>
      <w:r>
        <w:t xml:space="preserve"> MA, </w:t>
      </w:r>
      <w:proofErr w:type="spellStart"/>
      <w:r>
        <w:t>Dispenzieri</w:t>
      </w:r>
      <w:proofErr w:type="spellEnd"/>
      <w:r>
        <w:t xml:space="preserve"> A, </w:t>
      </w:r>
      <w:proofErr w:type="spellStart"/>
      <w:r>
        <w:t>Zeldenrust</w:t>
      </w:r>
      <w:proofErr w:type="spellEnd"/>
      <w:r>
        <w:t xml:space="preserve"> SR, Leung N, et al. Ocular </w:t>
      </w:r>
      <w:proofErr w:type="spellStart"/>
      <w:r>
        <w:t>Manifestations</w:t>
      </w:r>
      <w:proofErr w:type="spellEnd"/>
      <w:r>
        <w:t xml:space="preserve"> </w:t>
      </w:r>
      <w:proofErr w:type="spellStart"/>
      <w:r>
        <w:t>of</w:t>
      </w:r>
      <w:proofErr w:type="spellEnd"/>
      <w:r>
        <w:t xml:space="preserve"> Familial </w:t>
      </w:r>
      <w:proofErr w:type="spellStart"/>
      <w:r>
        <w:t>Transthyretin</w:t>
      </w:r>
      <w:proofErr w:type="spellEnd"/>
      <w:r>
        <w:t xml:space="preserve"> </w:t>
      </w:r>
      <w:proofErr w:type="spellStart"/>
      <w:r>
        <w:t>Amyloidosis</w:t>
      </w:r>
      <w:proofErr w:type="spellEnd"/>
      <w:r>
        <w:t xml:space="preserve">. </w:t>
      </w:r>
      <w:proofErr w:type="spellStart"/>
      <w:r>
        <w:t>Am</w:t>
      </w:r>
      <w:proofErr w:type="spellEnd"/>
      <w:r>
        <w:t xml:space="preserve"> J </w:t>
      </w:r>
      <w:proofErr w:type="spellStart"/>
      <w:r>
        <w:t>Ophthalmol</w:t>
      </w:r>
      <w:proofErr w:type="spellEnd"/>
      <w:r>
        <w:t xml:space="preserve">. 2017 </w:t>
      </w:r>
      <w:proofErr w:type="spellStart"/>
      <w:r>
        <w:t>Nov</w:t>
      </w:r>
      <w:proofErr w:type="spellEnd"/>
      <w:r>
        <w:t xml:space="preserve"> </w:t>
      </w:r>
      <w:proofErr w:type="gramStart"/>
      <w:r>
        <w:t>1;183:156</w:t>
      </w:r>
      <w:proofErr w:type="gramEnd"/>
      <w:r>
        <w:t xml:space="preserve">–62.  </w:t>
      </w:r>
    </w:p>
    <w:p w:rsidR="005579F7" w:rsidRPr="00B1535A" w:rsidRDefault="00622165">
      <w:pPr>
        <w:numPr>
          <w:ilvl w:val="0"/>
          <w:numId w:val="7"/>
        </w:numPr>
        <w:spacing w:line="259" w:lineRule="auto"/>
        <w:ind w:right="0" w:hanging="641"/>
        <w:jc w:val="left"/>
        <w:rPr>
          <w:lang w:val="en-US"/>
        </w:rPr>
      </w:pPr>
      <w:r w:rsidRPr="00B1535A">
        <w:rPr>
          <w:lang w:val="en-US"/>
        </w:rPr>
        <w:t xml:space="preserve">Venkatesh P, Selvan H, Singh SB, Gupta D, Kashyap S, </w:t>
      </w:r>
      <w:proofErr w:type="spellStart"/>
      <w:r w:rsidRPr="00B1535A">
        <w:rPr>
          <w:lang w:val="en-US"/>
        </w:rPr>
        <w:t>Temkar</w:t>
      </w:r>
      <w:proofErr w:type="spellEnd"/>
      <w:r w:rsidRPr="00B1535A">
        <w:rPr>
          <w:lang w:val="en-US"/>
        </w:rPr>
        <w:t xml:space="preserve"> S, et al. </w:t>
      </w:r>
    </w:p>
    <w:p w:rsidR="005579F7" w:rsidRDefault="00622165">
      <w:pPr>
        <w:spacing w:line="242" w:lineRule="auto"/>
        <w:ind w:left="651" w:right="0"/>
      </w:pPr>
      <w:r w:rsidRPr="00B1535A">
        <w:rPr>
          <w:lang w:val="en-US"/>
        </w:rPr>
        <w:t xml:space="preserve">Vitreous Amyloidosis: Ocular, Systemic, and Genetic Insights. </w:t>
      </w:r>
      <w:proofErr w:type="spellStart"/>
      <w:r>
        <w:t>Ophthalmology</w:t>
      </w:r>
      <w:proofErr w:type="spellEnd"/>
      <w:r>
        <w:t xml:space="preserve">. 2017 </w:t>
      </w:r>
      <w:proofErr w:type="spellStart"/>
      <w:r>
        <w:t>Jul</w:t>
      </w:r>
      <w:proofErr w:type="spellEnd"/>
      <w:r>
        <w:t xml:space="preserve"> 1;124(7):1014–22.  </w:t>
      </w:r>
    </w:p>
    <w:p w:rsidR="005579F7" w:rsidRDefault="00622165">
      <w:pPr>
        <w:numPr>
          <w:ilvl w:val="0"/>
          <w:numId w:val="7"/>
        </w:numPr>
        <w:spacing w:line="240" w:lineRule="auto"/>
        <w:ind w:right="0" w:hanging="641"/>
        <w:jc w:val="left"/>
      </w:pPr>
      <w:r>
        <w:t xml:space="preserve">Fernández C, Fernández De </w:t>
      </w:r>
      <w:proofErr w:type="spellStart"/>
      <w:r>
        <w:t>Larrea</w:t>
      </w:r>
      <w:proofErr w:type="spellEnd"/>
      <w:r>
        <w:t xml:space="preserve"> F, Verga L, </w:t>
      </w:r>
      <w:proofErr w:type="spellStart"/>
      <w:r>
        <w:t>Morbini</w:t>
      </w:r>
      <w:proofErr w:type="spellEnd"/>
      <w:r>
        <w:t xml:space="preserve"> P, </w:t>
      </w:r>
      <w:proofErr w:type="spellStart"/>
      <w:r>
        <w:t>Klersy</w:t>
      </w:r>
      <w:proofErr w:type="spellEnd"/>
      <w:r>
        <w:t xml:space="preserve"> C, </w:t>
      </w:r>
      <w:proofErr w:type="spellStart"/>
      <w:r>
        <w:t>Lavatelli</w:t>
      </w:r>
      <w:proofErr w:type="spellEnd"/>
      <w:r>
        <w:t xml:space="preserve"> F, </w:t>
      </w:r>
      <w:r>
        <w:t xml:space="preserve">et al. A </w:t>
      </w:r>
      <w:proofErr w:type="spellStart"/>
      <w:r>
        <w:t>practical</w:t>
      </w:r>
      <w:proofErr w:type="spellEnd"/>
      <w:r>
        <w:t xml:space="preserve"> approach </w:t>
      </w:r>
      <w:proofErr w:type="spellStart"/>
      <w:r>
        <w:t>to</w:t>
      </w:r>
      <w:proofErr w:type="spellEnd"/>
      <w:r>
        <w:t xml:space="preserve"> </w:t>
      </w:r>
      <w:proofErr w:type="spellStart"/>
      <w:r>
        <w:t>the</w:t>
      </w:r>
      <w:proofErr w:type="spellEnd"/>
      <w:r>
        <w:t xml:space="preserve"> </w:t>
      </w:r>
      <w:proofErr w:type="spellStart"/>
      <w:r>
        <w:t>diagnosis</w:t>
      </w:r>
      <w:proofErr w:type="spellEnd"/>
      <w:r>
        <w:t xml:space="preserve"> </w:t>
      </w:r>
      <w:proofErr w:type="spellStart"/>
      <w:r>
        <w:t>of</w:t>
      </w:r>
      <w:proofErr w:type="spellEnd"/>
      <w:r>
        <w:t xml:space="preserve"> </w:t>
      </w:r>
      <w:proofErr w:type="spellStart"/>
      <w:r>
        <w:t>systemic</w:t>
      </w:r>
      <w:proofErr w:type="spellEnd"/>
      <w:r>
        <w:t xml:space="preserve"> </w:t>
      </w:r>
      <w:proofErr w:type="spellStart"/>
      <w:r>
        <w:t>amyloidoses</w:t>
      </w:r>
      <w:proofErr w:type="spellEnd"/>
      <w:r>
        <w:t xml:space="preserve">. 2015;  </w:t>
      </w:r>
    </w:p>
    <w:p w:rsidR="005579F7" w:rsidRPr="00B1535A" w:rsidRDefault="00622165">
      <w:pPr>
        <w:numPr>
          <w:ilvl w:val="0"/>
          <w:numId w:val="7"/>
        </w:numPr>
        <w:spacing w:line="241" w:lineRule="auto"/>
        <w:ind w:right="0" w:hanging="641"/>
        <w:jc w:val="left"/>
        <w:rPr>
          <w:lang w:val="en-US"/>
        </w:rPr>
      </w:pPr>
      <w:proofErr w:type="spellStart"/>
      <w:r w:rsidRPr="00B1535A">
        <w:rPr>
          <w:lang w:val="en-US"/>
        </w:rPr>
        <w:t>Planté-Bordeneuve</w:t>
      </w:r>
      <w:proofErr w:type="spellEnd"/>
      <w:r w:rsidRPr="00B1535A">
        <w:rPr>
          <w:lang w:val="en-US"/>
        </w:rPr>
        <w:t xml:space="preserve"> V, Said G. Familial amyloid polyneuropathy. Vol. 10, The Lancet Neurology. 2011. p. 1086–97.  </w:t>
      </w:r>
    </w:p>
    <w:p w:rsidR="005579F7" w:rsidRDefault="00622165">
      <w:pPr>
        <w:numPr>
          <w:ilvl w:val="0"/>
          <w:numId w:val="7"/>
        </w:numPr>
        <w:spacing w:after="3" w:line="241" w:lineRule="auto"/>
        <w:ind w:right="0" w:hanging="641"/>
        <w:jc w:val="left"/>
      </w:pPr>
      <w:r>
        <w:t xml:space="preserve">Pinto MV, Barreira AA, </w:t>
      </w:r>
      <w:proofErr w:type="spellStart"/>
      <w:r>
        <w:t>Bulle</w:t>
      </w:r>
      <w:proofErr w:type="spellEnd"/>
      <w:r>
        <w:t xml:space="preserve"> AS, de Freitas MRG, França MC, Gondi</w:t>
      </w:r>
      <w:r>
        <w:t xml:space="preserve">m F de AA, et al. </w:t>
      </w:r>
      <w:proofErr w:type="spellStart"/>
      <w:r>
        <w:t>Brazilian</w:t>
      </w:r>
      <w:proofErr w:type="spellEnd"/>
      <w:r>
        <w:t xml:space="preserve"> consensus for </w:t>
      </w:r>
      <w:proofErr w:type="spellStart"/>
      <w:r>
        <w:t>diagnosis</w:t>
      </w:r>
      <w:proofErr w:type="spellEnd"/>
      <w:r>
        <w:t xml:space="preserve">, management </w:t>
      </w:r>
      <w:proofErr w:type="spellStart"/>
      <w:r>
        <w:t>and</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transthyretin</w:t>
      </w:r>
      <w:proofErr w:type="spellEnd"/>
      <w:r>
        <w:t xml:space="preserve"> familial </w:t>
      </w:r>
      <w:proofErr w:type="spellStart"/>
      <w:r>
        <w:t>amyloid</w:t>
      </w:r>
      <w:proofErr w:type="spellEnd"/>
      <w:r>
        <w:t xml:space="preserve"> </w:t>
      </w:r>
      <w:proofErr w:type="spellStart"/>
      <w:r>
        <w:t>polyneuropathy</w:t>
      </w:r>
      <w:proofErr w:type="spellEnd"/>
      <w:r>
        <w:t xml:space="preserve">. </w:t>
      </w:r>
      <w:proofErr w:type="spellStart"/>
      <w:r>
        <w:t>Arq</w:t>
      </w:r>
      <w:proofErr w:type="spellEnd"/>
      <w:r>
        <w:t xml:space="preserve"> </w:t>
      </w:r>
      <w:proofErr w:type="spellStart"/>
      <w:r>
        <w:t>Neuropsiquiatr</w:t>
      </w:r>
      <w:proofErr w:type="spellEnd"/>
      <w:r>
        <w:t xml:space="preserve">. 2018 </w:t>
      </w:r>
      <w:proofErr w:type="spellStart"/>
      <w:r>
        <w:t>Sep</w:t>
      </w:r>
      <w:proofErr w:type="spellEnd"/>
      <w:r>
        <w:t xml:space="preserve"> 1;76(9):609–21.  </w:t>
      </w:r>
    </w:p>
    <w:p w:rsidR="005579F7" w:rsidRDefault="00622165">
      <w:pPr>
        <w:numPr>
          <w:ilvl w:val="0"/>
          <w:numId w:val="7"/>
        </w:numPr>
        <w:spacing w:after="3" w:line="241" w:lineRule="auto"/>
        <w:ind w:right="0" w:hanging="641"/>
        <w:jc w:val="left"/>
      </w:pPr>
      <w:r w:rsidRPr="00B1535A">
        <w:rPr>
          <w:lang w:val="en-US"/>
        </w:rPr>
        <w:t xml:space="preserve">Adams D, Suhr OB, Hund E, </w:t>
      </w:r>
      <w:proofErr w:type="spellStart"/>
      <w:r w:rsidRPr="00B1535A">
        <w:rPr>
          <w:lang w:val="en-US"/>
        </w:rPr>
        <w:t>Obici</w:t>
      </w:r>
      <w:proofErr w:type="spellEnd"/>
      <w:r w:rsidRPr="00B1535A">
        <w:rPr>
          <w:lang w:val="en-US"/>
        </w:rPr>
        <w:t xml:space="preserve"> L, </w:t>
      </w:r>
      <w:proofErr w:type="spellStart"/>
      <w:r w:rsidRPr="00B1535A">
        <w:rPr>
          <w:lang w:val="en-US"/>
        </w:rPr>
        <w:t>Tournev</w:t>
      </w:r>
      <w:proofErr w:type="spellEnd"/>
      <w:r w:rsidRPr="00B1535A">
        <w:rPr>
          <w:lang w:val="en-US"/>
        </w:rPr>
        <w:t xml:space="preserve"> I, </w:t>
      </w:r>
      <w:proofErr w:type="spellStart"/>
      <w:r w:rsidRPr="00B1535A">
        <w:rPr>
          <w:lang w:val="en-US"/>
        </w:rPr>
        <w:t>Campistol</w:t>
      </w:r>
      <w:proofErr w:type="spellEnd"/>
      <w:r w:rsidRPr="00B1535A">
        <w:rPr>
          <w:lang w:val="en-US"/>
        </w:rPr>
        <w:t xml:space="preserve"> JM, et al. First </w:t>
      </w:r>
      <w:proofErr w:type="spellStart"/>
      <w:r w:rsidRPr="00B1535A">
        <w:rPr>
          <w:lang w:val="en-US"/>
        </w:rPr>
        <w:t>european</w:t>
      </w:r>
      <w:proofErr w:type="spellEnd"/>
      <w:r w:rsidRPr="00B1535A">
        <w:rPr>
          <w:lang w:val="en-US"/>
        </w:rPr>
        <w:t xml:space="preserve"> consensus for diagnosis, management, and treatment of transthyretin familial amyloid polyneuropathy. </w:t>
      </w:r>
      <w:proofErr w:type="spellStart"/>
      <w:r>
        <w:t>Curr</w:t>
      </w:r>
      <w:proofErr w:type="spellEnd"/>
      <w:r>
        <w:t xml:space="preserve"> </w:t>
      </w:r>
      <w:proofErr w:type="spellStart"/>
      <w:r>
        <w:t>Opin</w:t>
      </w:r>
      <w:proofErr w:type="spellEnd"/>
      <w:r>
        <w:t xml:space="preserve"> </w:t>
      </w:r>
      <w:proofErr w:type="spellStart"/>
      <w:r>
        <w:t>Neurol</w:t>
      </w:r>
      <w:proofErr w:type="spellEnd"/>
      <w:r>
        <w:t xml:space="preserve">. 2016 </w:t>
      </w:r>
      <w:proofErr w:type="spellStart"/>
      <w:r>
        <w:t>Feb</w:t>
      </w:r>
      <w:proofErr w:type="spellEnd"/>
      <w:r>
        <w:t xml:space="preserve"> 1;29:S14–26.  </w:t>
      </w:r>
    </w:p>
    <w:p w:rsidR="005579F7" w:rsidRDefault="00622165">
      <w:pPr>
        <w:numPr>
          <w:ilvl w:val="0"/>
          <w:numId w:val="7"/>
        </w:numPr>
        <w:spacing w:after="3" w:line="241" w:lineRule="auto"/>
        <w:ind w:right="0" w:hanging="641"/>
        <w:jc w:val="left"/>
      </w:pPr>
      <w:r w:rsidRPr="00B1535A">
        <w:rPr>
          <w:lang w:val="en-US"/>
        </w:rPr>
        <w:t xml:space="preserve">Leung N, Nasr SH, </w:t>
      </w:r>
      <w:proofErr w:type="spellStart"/>
      <w:r w:rsidRPr="00B1535A">
        <w:rPr>
          <w:lang w:val="en-US"/>
        </w:rPr>
        <w:t>Sethi</w:t>
      </w:r>
      <w:proofErr w:type="spellEnd"/>
      <w:r w:rsidRPr="00B1535A">
        <w:rPr>
          <w:lang w:val="en-US"/>
        </w:rPr>
        <w:t xml:space="preserve"> S. How I Treat amyloidosis: The importance of accurate diagnosis and amyloid typing. </w:t>
      </w:r>
      <w:proofErr w:type="spellStart"/>
      <w:r>
        <w:t>Blo</w:t>
      </w:r>
      <w:r>
        <w:t>od</w:t>
      </w:r>
      <w:proofErr w:type="spellEnd"/>
      <w:r>
        <w:t xml:space="preserve">. 2012 </w:t>
      </w:r>
      <w:proofErr w:type="spellStart"/>
      <w:r>
        <w:t>Oct</w:t>
      </w:r>
      <w:proofErr w:type="spellEnd"/>
      <w:r>
        <w:t xml:space="preserve"> 18;120(16):3206–13.  21.  Coelho T, Maia LF, Martins da Silva A, Waddington Cruz M, </w:t>
      </w:r>
      <w:proofErr w:type="spellStart"/>
      <w:r>
        <w:lastRenderedPageBreak/>
        <w:t>PlantéBordeneuve</w:t>
      </w:r>
      <w:proofErr w:type="spellEnd"/>
      <w:r>
        <w:t xml:space="preserve"> V, </w:t>
      </w:r>
      <w:proofErr w:type="spellStart"/>
      <w:r>
        <w:t>Lozeron</w:t>
      </w:r>
      <w:proofErr w:type="spellEnd"/>
      <w:r>
        <w:t xml:space="preserve"> P, et al. </w:t>
      </w:r>
      <w:proofErr w:type="spellStart"/>
      <w:r>
        <w:t>Tafamidis</w:t>
      </w:r>
      <w:proofErr w:type="spellEnd"/>
      <w:r>
        <w:t xml:space="preserve"> for </w:t>
      </w:r>
      <w:proofErr w:type="spellStart"/>
      <w:r>
        <w:t>transthyretin</w:t>
      </w:r>
      <w:proofErr w:type="spellEnd"/>
      <w:r>
        <w:t xml:space="preserve"> familial </w:t>
      </w:r>
      <w:proofErr w:type="spellStart"/>
      <w:r>
        <w:t>amyloid</w:t>
      </w:r>
      <w:proofErr w:type="spellEnd"/>
      <w:r>
        <w:t xml:space="preserve"> </w:t>
      </w:r>
      <w:proofErr w:type="spellStart"/>
      <w:r>
        <w:t>polyneuropathy</w:t>
      </w:r>
      <w:proofErr w:type="spellEnd"/>
      <w:r>
        <w:t xml:space="preserve"> A </w:t>
      </w:r>
      <w:proofErr w:type="spellStart"/>
      <w:r>
        <w:t>randomized</w:t>
      </w:r>
      <w:proofErr w:type="spellEnd"/>
      <w:r>
        <w:t xml:space="preserve">, </w:t>
      </w:r>
      <w:proofErr w:type="spellStart"/>
      <w:r>
        <w:t>controlled</w:t>
      </w:r>
      <w:proofErr w:type="spellEnd"/>
      <w:r>
        <w:t xml:space="preserve"> </w:t>
      </w:r>
      <w:proofErr w:type="spellStart"/>
      <w:r>
        <w:t>trial</w:t>
      </w:r>
      <w:proofErr w:type="spellEnd"/>
      <w:r>
        <w:t xml:space="preserve"> [Internet]. 2012. </w:t>
      </w:r>
      <w:proofErr w:type="spellStart"/>
      <w:r>
        <w:t>Available</w:t>
      </w:r>
      <w:proofErr w:type="spellEnd"/>
      <w:r>
        <w:t xml:space="preserve"> </w:t>
      </w:r>
      <w:proofErr w:type="spellStart"/>
      <w:r>
        <w:t>fr</w:t>
      </w:r>
      <w:r>
        <w:t>om</w:t>
      </w:r>
      <w:proofErr w:type="spellEnd"/>
      <w:r>
        <w:t xml:space="preserve">: www.neurology.org </w:t>
      </w:r>
    </w:p>
    <w:p w:rsidR="005579F7" w:rsidRDefault="00622165">
      <w:pPr>
        <w:numPr>
          <w:ilvl w:val="0"/>
          <w:numId w:val="8"/>
        </w:numPr>
        <w:spacing w:after="3" w:line="241" w:lineRule="auto"/>
        <w:ind w:right="0" w:hanging="641"/>
        <w:jc w:val="left"/>
      </w:pPr>
      <w:r w:rsidRPr="00B1535A">
        <w:rPr>
          <w:lang w:val="en-US"/>
        </w:rPr>
        <w:t xml:space="preserve">Waddington Cruz M, Benson MD. A Review of </w:t>
      </w:r>
      <w:proofErr w:type="spellStart"/>
      <w:r w:rsidRPr="00B1535A">
        <w:rPr>
          <w:lang w:val="en-US"/>
        </w:rPr>
        <w:t>Tafamidis</w:t>
      </w:r>
      <w:proofErr w:type="spellEnd"/>
      <w:r w:rsidRPr="00B1535A">
        <w:rPr>
          <w:lang w:val="en-US"/>
        </w:rPr>
        <w:t xml:space="preserve"> for the Treatment of Transthyretin-Related Amyloidosis. </w:t>
      </w:r>
      <w:r>
        <w:t xml:space="preserve">Vol. 4, </w:t>
      </w:r>
      <w:proofErr w:type="spellStart"/>
      <w:r>
        <w:t>Neurology</w:t>
      </w:r>
      <w:proofErr w:type="spellEnd"/>
      <w:r>
        <w:t xml:space="preserve"> </w:t>
      </w:r>
      <w:proofErr w:type="spellStart"/>
      <w:r>
        <w:t>and</w:t>
      </w:r>
      <w:proofErr w:type="spellEnd"/>
      <w:r>
        <w:t xml:space="preserve"> </w:t>
      </w:r>
      <w:proofErr w:type="spellStart"/>
      <w:r>
        <w:t>Therapy</w:t>
      </w:r>
      <w:proofErr w:type="spellEnd"/>
      <w:r>
        <w:t xml:space="preserve">. Springer </w:t>
      </w:r>
      <w:proofErr w:type="spellStart"/>
      <w:r>
        <w:t>Healthcare</w:t>
      </w:r>
      <w:proofErr w:type="spellEnd"/>
      <w:r>
        <w:t xml:space="preserve">; 2015. p. 61–79.  </w:t>
      </w:r>
    </w:p>
    <w:p w:rsidR="005579F7" w:rsidRDefault="00622165">
      <w:pPr>
        <w:numPr>
          <w:ilvl w:val="0"/>
          <w:numId w:val="8"/>
        </w:numPr>
        <w:spacing w:after="3" w:line="241" w:lineRule="auto"/>
        <w:ind w:right="0" w:hanging="641"/>
        <w:jc w:val="left"/>
      </w:pPr>
      <w:r>
        <w:t xml:space="preserve">Protocolo Clínico e Diretrizes Terapêuticas para Diagnóstico e Tratamento das </w:t>
      </w:r>
      <w:proofErr w:type="spellStart"/>
      <w:r>
        <w:t>Amiloidoses</w:t>
      </w:r>
      <w:proofErr w:type="spellEnd"/>
      <w:r>
        <w:t xml:space="preserve"> Hereditárias associadas à </w:t>
      </w:r>
      <w:proofErr w:type="spellStart"/>
      <w:r>
        <w:t>Transtirretina</w:t>
      </w:r>
      <w:proofErr w:type="spellEnd"/>
      <w:r>
        <w:t xml:space="preserve"> [Internet]. 2018. </w:t>
      </w:r>
      <w:proofErr w:type="spellStart"/>
      <w:r>
        <w:t>Available</w:t>
      </w:r>
      <w:proofErr w:type="spellEnd"/>
      <w:r>
        <w:t xml:space="preserve"> </w:t>
      </w:r>
      <w:proofErr w:type="spellStart"/>
      <w:r>
        <w:t>from</w:t>
      </w:r>
      <w:proofErr w:type="spellEnd"/>
      <w:r>
        <w:t xml:space="preserve">: http://conitec.gov.br </w:t>
      </w:r>
    </w:p>
    <w:p w:rsidR="005579F7" w:rsidRDefault="00622165">
      <w:pPr>
        <w:numPr>
          <w:ilvl w:val="0"/>
          <w:numId w:val="8"/>
        </w:numPr>
        <w:spacing w:after="3" w:line="241" w:lineRule="auto"/>
        <w:ind w:right="0" w:hanging="641"/>
        <w:jc w:val="left"/>
      </w:pPr>
      <w:r w:rsidRPr="00B1535A">
        <w:rPr>
          <w:lang w:val="en-US"/>
        </w:rPr>
        <w:t xml:space="preserve">Craig JP, Nichols KK, </w:t>
      </w:r>
      <w:proofErr w:type="spellStart"/>
      <w:r w:rsidRPr="00B1535A">
        <w:rPr>
          <w:lang w:val="en-US"/>
        </w:rPr>
        <w:t>Akpek</w:t>
      </w:r>
      <w:proofErr w:type="spellEnd"/>
      <w:r w:rsidRPr="00B1535A">
        <w:rPr>
          <w:lang w:val="en-US"/>
        </w:rPr>
        <w:t xml:space="preserve"> EK, Caffery B, </w:t>
      </w:r>
      <w:proofErr w:type="spellStart"/>
      <w:r w:rsidRPr="00B1535A">
        <w:rPr>
          <w:lang w:val="en-US"/>
        </w:rPr>
        <w:t>Dua</w:t>
      </w:r>
      <w:proofErr w:type="spellEnd"/>
      <w:r w:rsidRPr="00B1535A">
        <w:rPr>
          <w:lang w:val="en-US"/>
        </w:rPr>
        <w:t xml:space="preserve"> HS, </w:t>
      </w:r>
      <w:proofErr w:type="spellStart"/>
      <w:r w:rsidRPr="00B1535A">
        <w:rPr>
          <w:lang w:val="en-US"/>
        </w:rPr>
        <w:t>Joo</w:t>
      </w:r>
      <w:proofErr w:type="spellEnd"/>
      <w:r w:rsidRPr="00B1535A">
        <w:rPr>
          <w:lang w:val="en-US"/>
        </w:rPr>
        <w:t xml:space="preserve"> CK, et al. </w:t>
      </w:r>
      <w:r>
        <w:t>TF</w:t>
      </w:r>
      <w:r>
        <w:t xml:space="preserve">OS DEWS II </w:t>
      </w:r>
      <w:proofErr w:type="spellStart"/>
      <w:r>
        <w:t>Definition</w:t>
      </w:r>
      <w:proofErr w:type="spellEnd"/>
      <w:r>
        <w:t xml:space="preserve"> </w:t>
      </w:r>
      <w:proofErr w:type="spellStart"/>
      <w:r>
        <w:t>and</w:t>
      </w:r>
      <w:proofErr w:type="spellEnd"/>
      <w:r>
        <w:t xml:space="preserve"> </w:t>
      </w:r>
      <w:proofErr w:type="spellStart"/>
      <w:r>
        <w:t>Classification</w:t>
      </w:r>
      <w:proofErr w:type="spellEnd"/>
      <w:r>
        <w:t xml:space="preserve"> Report. Vol. 15, Ocular Surface. Elsevier Inc.; 2017. p. 276–83.  </w:t>
      </w:r>
    </w:p>
    <w:p w:rsidR="005579F7" w:rsidRDefault="00622165">
      <w:pPr>
        <w:numPr>
          <w:ilvl w:val="0"/>
          <w:numId w:val="8"/>
        </w:numPr>
        <w:spacing w:after="3" w:line="241" w:lineRule="auto"/>
        <w:ind w:right="0" w:hanging="641"/>
        <w:jc w:val="left"/>
      </w:pPr>
      <w:r w:rsidRPr="00B1535A">
        <w:rPr>
          <w:lang w:val="en-US"/>
        </w:rPr>
        <w:t xml:space="preserve">Craig JP, Nelson JD, Azar DT, Belmonte C, </w:t>
      </w:r>
      <w:proofErr w:type="spellStart"/>
      <w:r w:rsidRPr="00B1535A">
        <w:rPr>
          <w:lang w:val="en-US"/>
        </w:rPr>
        <w:t>Bron</w:t>
      </w:r>
      <w:proofErr w:type="spellEnd"/>
      <w:r w:rsidRPr="00B1535A">
        <w:rPr>
          <w:lang w:val="en-US"/>
        </w:rPr>
        <w:t xml:space="preserve"> AJ, Chauhan SK, et al. </w:t>
      </w:r>
      <w:r>
        <w:t xml:space="preserve">TFOS DEWS II </w:t>
      </w:r>
      <w:proofErr w:type="spellStart"/>
      <w:r>
        <w:t>Report</w:t>
      </w:r>
      <w:proofErr w:type="spellEnd"/>
      <w:r>
        <w:t xml:space="preserve"> </w:t>
      </w:r>
      <w:proofErr w:type="spellStart"/>
      <w:r>
        <w:t>Executive</w:t>
      </w:r>
      <w:proofErr w:type="spellEnd"/>
      <w:r>
        <w:t xml:space="preserve"> </w:t>
      </w:r>
      <w:proofErr w:type="spellStart"/>
      <w:r>
        <w:t>Summary</w:t>
      </w:r>
      <w:proofErr w:type="spellEnd"/>
      <w:r>
        <w:t>. Vol. 15, Ocular Surface. Elsevier Inc.;</w:t>
      </w:r>
      <w:r>
        <w:t xml:space="preserve"> 2017. p. 802–12.  </w:t>
      </w:r>
    </w:p>
    <w:p w:rsidR="005579F7" w:rsidRDefault="00622165">
      <w:pPr>
        <w:numPr>
          <w:ilvl w:val="0"/>
          <w:numId w:val="8"/>
        </w:numPr>
        <w:spacing w:line="240" w:lineRule="auto"/>
        <w:ind w:right="0" w:hanging="641"/>
        <w:jc w:val="left"/>
      </w:pPr>
      <w:proofErr w:type="spellStart"/>
      <w:r>
        <w:t>AdriAno</w:t>
      </w:r>
      <w:proofErr w:type="spellEnd"/>
      <w:r>
        <w:t xml:space="preserve"> </w:t>
      </w:r>
      <w:proofErr w:type="spellStart"/>
      <w:r>
        <w:t>MAuricio</w:t>
      </w:r>
      <w:proofErr w:type="spellEnd"/>
      <w:r>
        <w:t xml:space="preserve"> </w:t>
      </w:r>
      <w:proofErr w:type="spellStart"/>
      <w:r>
        <w:t>Prigol</w:t>
      </w:r>
      <w:proofErr w:type="spellEnd"/>
      <w:r>
        <w:t xml:space="preserve"> </w:t>
      </w:r>
      <w:proofErr w:type="spellStart"/>
      <w:r>
        <w:t>MaBa</w:t>
      </w:r>
      <w:proofErr w:type="spellEnd"/>
      <w:r>
        <w:t xml:space="preserve"> </w:t>
      </w:r>
      <w:proofErr w:type="spellStart"/>
      <w:r>
        <w:t>tenório</w:t>
      </w:r>
      <w:proofErr w:type="spellEnd"/>
      <w:r>
        <w:t xml:space="preserve">, </w:t>
      </w:r>
      <w:proofErr w:type="spellStart"/>
      <w:r>
        <w:t>roBertA</w:t>
      </w:r>
      <w:proofErr w:type="spellEnd"/>
      <w:r>
        <w:t xml:space="preserve"> </w:t>
      </w:r>
      <w:proofErr w:type="spellStart"/>
      <w:r>
        <w:t>MaMa</w:t>
      </w:r>
      <w:proofErr w:type="spellEnd"/>
      <w:r>
        <w:t xml:space="preserve"> </w:t>
      </w:r>
      <w:proofErr w:type="spellStart"/>
      <w:r>
        <w:t>luiz</w:t>
      </w:r>
      <w:proofErr w:type="spellEnd"/>
      <w:r>
        <w:t xml:space="preserve"> </w:t>
      </w:r>
      <w:proofErr w:type="spellStart"/>
      <w:r>
        <w:t>gehlen</w:t>
      </w:r>
      <w:proofErr w:type="spellEnd"/>
      <w:r>
        <w:t xml:space="preserve">, </w:t>
      </w:r>
      <w:proofErr w:type="spellStart"/>
      <w:r>
        <w:t>thelMA</w:t>
      </w:r>
      <w:proofErr w:type="spellEnd"/>
      <w:r>
        <w:t xml:space="preserve"> skAre3. Tradução e validação do índice da doença da superfície ocular para a língua portuguesa. 2012;  </w:t>
      </w:r>
    </w:p>
    <w:p w:rsidR="005579F7" w:rsidRDefault="00622165">
      <w:pPr>
        <w:numPr>
          <w:ilvl w:val="0"/>
          <w:numId w:val="8"/>
        </w:numPr>
        <w:spacing w:line="259" w:lineRule="auto"/>
        <w:ind w:right="0" w:hanging="641"/>
        <w:jc w:val="left"/>
      </w:pPr>
      <w:proofErr w:type="spellStart"/>
      <w:r>
        <w:t>Wolffsohn</w:t>
      </w:r>
      <w:proofErr w:type="spellEnd"/>
      <w:r>
        <w:t xml:space="preserve"> JS, </w:t>
      </w:r>
      <w:proofErr w:type="spellStart"/>
      <w:r>
        <w:t>Arita</w:t>
      </w:r>
      <w:proofErr w:type="spellEnd"/>
      <w:r>
        <w:t xml:space="preserve"> R, </w:t>
      </w:r>
      <w:proofErr w:type="spellStart"/>
      <w:r>
        <w:t>Chalmers</w:t>
      </w:r>
      <w:proofErr w:type="spellEnd"/>
      <w:r>
        <w:t xml:space="preserve"> R, </w:t>
      </w:r>
      <w:proofErr w:type="spellStart"/>
      <w:r>
        <w:t>Djalilian</w:t>
      </w:r>
      <w:proofErr w:type="spellEnd"/>
      <w:r>
        <w:t xml:space="preserve"> A, </w:t>
      </w:r>
      <w:proofErr w:type="spellStart"/>
      <w:r>
        <w:t>Dogru</w:t>
      </w:r>
      <w:proofErr w:type="spellEnd"/>
      <w:r>
        <w:t xml:space="preserve"> M, </w:t>
      </w:r>
      <w:proofErr w:type="spellStart"/>
      <w:r>
        <w:t>Dumbleton</w:t>
      </w:r>
      <w:proofErr w:type="spellEnd"/>
      <w:r>
        <w:t xml:space="preserve"> K, et al. </w:t>
      </w:r>
    </w:p>
    <w:p w:rsidR="005579F7" w:rsidRDefault="00622165">
      <w:pPr>
        <w:spacing w:line="241" w:lineRule="auto"/>
        <w:ind w:left="651" w:right="0"/>
      </w:pPr>
      <w:r w:rsidRPr="00B1535A">
        <w:rPr>
          <w:lang w:val="en-US"/>
        </w:rPr>
        <w:t xml:space="preserve">TFOS DEWS II Diagnostic Methodology report. </w:t>
      </w:r>
      <w:r>
        <w:t xml:space="preserve">Vol. 15, Ocular Surface. Elsevier Inc.; 2017. p. 539–74.  </w:t>
      </w:r>
    </w:p>
    <w:p w:rsidR="005579F7" w:rsidRPr="00B1535A" w:rsidRDefault="00622165">
      <w:pPr>
        <w:numPr>
          <w:ilvl w:val="0"/>
          <w:numId w:val="8"/>
        </w:numPr>
        <w:spacing w:after="3" w:line="241" w:lineRule="auto"/>
        <w:ind w:right="0" w:hanging="641"/>
        <w:jc w:val="left"/>
        <w:rPr>
          <w:lang w:val="en-US"/>
        </w:rPr>
      </w:pPr>
      <w:r w:rsidRPr="00B1535A">
        <w:rPr>
          <w:lang w:val="en-US"/>
        </w:rPr>
        <w:t>Yang YJ, Lee WY, Kim YJ, Hong YP. A meta-analysis of the efficacy of hyalur</w:t>
      </w:r>
      <w:r w:rsidRPr="00B1535A">
        <w:rPr>
          <w:lang w:val="en-US"/>
        </w:rPr>
        <w:t xml:space="preserve">onic acid eye drops for the treatment of dry eye syndrome. Vol. 18, International Journal of Environmental Research and Public Health. MDPI AG; 2021. p. 1–14.  </w:t>
      </w:r>
    </w:p>
    <w:p w:rsidR="005579F7" w:rsidRDefault="00622165">
      <w:pPr>
        <w:numPr>
          <w:ilvl w:val="0"/>
          <w:numId w:val="8"/>
        </w:numPr>
        <w:spacing w:after="3" w:line="241" w:lineRule="auto"/>
        <w:ind w:right="0" w:hanging="641"/>
        <w:jc w:val="left"/>
      </w:pPr>
      <w:r w:rsidRPr="00B1535A">
        <w:rPr>
          <w:lang w:val="en-US"/>
        </w:rPr>
        <w:t xml:space="preserve">Nichols JJ, Nichols KK, </w:t>
      </w:r>
      <w:proofErr w:type="spellStart"/>
      <w:r w:rsidRPr="00B1535A">
        <w:rPr>
          <w:lang w:val="en-US"/>
        </w:rPr>
        <w:t>Puent</w:t>
      </w:r>
      <w:proofErr w:type="spellEnd"/>
      <w:r w:rsidRPr="00B1535A">
        <w:rPr>
          <w:lang w:val="en-US"/>
        </w:rPr>
        <w:t xml:space="preserve"> B, </w:t>
      </w:r>
      <w:proofErr w:type="spellStart"/>
      <w:r w:rsidRPr="00B1535A">
        <w:rPr>
          <w:lang w:val="en-US"/>
        </w:rPr>
        <w:t>Saracino</w:t>
      </w:r>
      <w:proofErr w:type="spellEnd"/>
      <w:r w:rsidRPr="00B1535A">
        <w:rPr>
          <w:lang w:val="en-US"/>
        </w:rPr>
        <w:t xml:space="preserve"> M, Lynn Mitchell G. Evaluation of Tear Film Interfere</w:t>
      </w:r>
      <w:r w:rsidRPr="00B1535A">
        <w:rPr>
          <w:lang w:val="en-US"/>
        </w:rPr>
        <w:t xml:space="preserve">nce Patterns and Measures of Tear Break-Up Time. Vol. 79, OPTOMETRY AND VISION SCIENCE. </w:t>
      </w:r>
      <w:r>
        <w:t xml:space="preserve">2002.  </w:t>
      </w:r>
    </w:p>
    <w:p w:rsidR="005579F7" w:rsidRDefault="00622165">
      <w:pPr>
        <w:numPr>
          <w:ilvl w:val="0"/>
          <w:numId w:val="8"/>
        </w:numPr>
        <w:spacing w:after="3" w:line="241" w:lineRule="auto"/>
        <w:ind w:right="0" w:hanging="641"/>
        <w:jc w:val="left"/>
      </w:pPr>
      <w:r w:rsidRPr="00B1535A">
        <w:rPr>
          <w:lang w:val="en-US"/>
        </w:rPr>
        <w:t xml:space="preserve">Doughty MJ. Tear Film Stability and Tear Break Up Time (TBUT) in Laboratory Rabbits—A Systematic Review. </w:t>
      </w:r>
      <w:r>
        <w:t xml:space="preserve">Vol. 43, </w:t>
      </w:r>
      <w:proofErr w:type="spellStart"/>
      <w:r>
        <w:t>Current</w:t>
      </w:r>
      <w:proofErr w:type="spellEnd"/>
      <w:r>
        <w:t xml:space="preserve"> </w:t>
      </w:r>
      <w:proofErr w:type="spellStart"/>
      <w:r>
        <w:t>Eye</w:t>
      </w:r>
      <w:proofErr w:type="spellEnd"/>
      <w:r>
        <w:t xml:space="preserve"> </w:t>
      </w:r>
      <w:proofErr w:type="spellStart"/>
      <w:r>
        <w:t>Research</w:t>
      </w:r>
      <w:proofErr w:type="spellEnd"/>
      <w:r>
        <w:t xml:space="preserve">. Taylor </w:t>
      </w:r>
      <w:proofErr w:type="spellStart"/>
      <w:r>
        <w:t>and</w:t>
      </w:r>
      <w:proofErr w:type="spellEnd"/>
      <w:r>
        <w:t xml:space="preserve"> Francis </w:t>
      </w:r>
      <w:proofErr w:type="spellStart"/>
      <w:r>
        <w:t>Ltd</w:t>
      </w:r>
      <w:proofErr w:type="spellEnd"/>
      <w:r>
        <w:t xml:space="preserve">; </w:t>
      </w:r>
      <w:r>
        <w:t xml:space="preserve">2018. p. 961–4.  </w:t>
      </w:r>
    </w:p>
    <w:p w:rsidR="005579F7" w:rsidRDefault="00622165">
      <w:pPr>
        <w:numPr>
          <w:ilvl w:val="0"/>
          <w:numId w:val="8"/>
        </w:numPr>
        <w:spacing w:line="240" w:lineRule="auto"/>
        <w:ind w:right="0" w:hanging="641"/>
        <w:jc w:val="left"/>
      </w:pPr>
      <w:r>
        <w:t xml:space="preserve">Oliveira J. Abordagem do Padrão de Normalidade da Pupila Trabalho Final de Mestrado. 2015.  </w:t>
      </w:r>
    </w:p>
    <w:p w:rsidR="005579F7" w:rsidRDefault="00622165">
      <w:pPr>
        <w:numPr>
          <w:ilvl w:val="0"/>
          <w:numId w:val="8"/>
        </w:numPr>
        <w:spacing w:after="3" w:line="241" w:lineRule="auto"/>
        <w:ind w:right="0" w:hanging="641"/>
        <w:jc w:val="left"/>
      </w:pPr>
      <w:proofErr w:type="spellStart"/>
      <w:r w:rsidRPr="00B1535A">
        <w:rPr>
          <w:lang w:val="en-US"/>
        </w:rPr>
        <w:t>Bremner</w:t>
      </w:r>
      <w:proofErr w:type="spellEnd"/>
      <w:r w:rsidRPr="00B1535A">
        <w:rPr>
          <w:lang w:val="en-US"/>
        </w:rPr>
        <w:t xml:space="preserve"> FD. Pupillometric evaluation of the dynamics of the pupillary response to a brief light stimulus in healthy subjects. </w:t>
      </w:r>
      <w:proofErr w:type="spellStart"/>
      <w:r>
        <w:t>Invest</w:t>
      </w:r>
      <w:proofErr w:type="spellEnd"/>
      <w:r>
        <w:t xml:space="preserve"> </w:t>
      </w:r>
      <w:proofErr w:type="spellStart"/>
      <w:r>
        <w:t>Ophthalmol</w:t>
      </w:r>
      <w:proofErr w:type="spellEnd"/>
      <w:r>
        <w:t xml:space="preserve"> V</w:t>
      </w:r>
      <w:r>
        <w:t xml:space="preserve">is </w:t>
      </w:r>
      <w:proofErr w:type="spellStart"/>
      <w:r>
        <w:t>Sci</w:t>
      </w:r>
      <w:proofErr w:type="spellEnd"/>
      <w:r>
        <w:t xml:space="preserve">. 2012 Oct;53(11):7343–7.  </w:t>
      </w:r>
    </w:p>
    <w:p w:rsidR="005579F7" w:rsidRDefault="00622165">
      <w:pPr>
        <w:numPr>
          <w:ilvl w:val="0"/>
          <w:numId w:val="8"/>
        </w:numPr>
        <w:spacing w:line="240" w:lineRule="auto"/>
        <w:ind w:right="0" w:hanging="641"/>
        <w:jc w:val="left"/>
      </w:pPr>
      <w:r>
        <w:t xml:space="preserve">Bruno Aurélio dos Santos Vieira. Polineuropatia </w:t>
      </w:r>
      <w:proofErr w:type="spellStart"/>
      <w:r>
        <w:t>Amiloidótica</w:t>
      </w:r>
      <w:proofErr w:type="spellEnd"/>
      <w:r>
        <w:t xml:space="preserve"> Familiar (PAF) Tipo I: Uma Visão </w:t>
      </w:r>
      <w:proofErr w:type="spellStart"/>
      <w:r>
        <w:t>Actual</w:t>
      </w:r>
      <w:proofErr w:type="spellEnd"/>
      <w:r>
        <w:t xml:space="preserve">, de um Problema de Saúde Antigo. 2008.  </w:t>
      </w:r>
    </w:p>
    <w:p w:rsidR="005579F7" w:rsidRDefault="00622165">
      <w:pPr>
        <w:numPr>
          <w:ilvl w:val="0"/>
          <w:numId w:val="8"/>
        </w:numPr>
        <w:spacing w:line="259" w:lineRule="auto"/>
        <w:ind w:right="0" w:hanging="641"/>
        <w:jc w:val="left"/>
      </w:pPr>
      <w:r>
        <w:t xml:space="preserve">Martins AC, Rosa AM, Costa E, Tavares C, Quadrado MJ, Murta JN. Ocular </w:t>
      </w:r>
    </w:p>
    <w:p w:rsidR="005579F7" w:rsidRDefault="00622165">
      <w:pPr>
        <w:spacing w:after="3" w:line="241" w:lineRule="auto"/>
        <w:ind w:left="641" w:right="0" w:firstLine="0"/>
        <w:jc w:val="left"/>
      </w:pPr>
      <w:r w:rsidRPr="00B1535A">
        <w:rPr>
          <w:lang w:val="en-US"/>
        </w:rPr>
        <w:t>Manifest</w:t>
      </w:r>
      <w:r w:rsidRPr="00B1535A">
        <w:rPr>
          <w:lang w:val="en-US"/>
        </w:rPr>
        <w:t xml:space="preserve">ations and Therapeutic Options in Patients with Familial Amyloid Polyneuropathy: A Systematic Review. </w:t>
      </w:r>
      <w:r>
        <w:t xml:space="preserve">Vol. 2015, </w:t>
      </w:r>
      <w:proofErr w:type="spellStart"/>
      <w:r>
        <w:t>BioMed</w:t>
      </w:r>
      <w:proofErr w:type="spellEnd"/>
      <w:r>
        <w:t xml:space="preserve"> </w:t>
      </w:r>
      <w:proofErr w:type="spellStart"/>
      <w:r>
        <w:t>Research</w:t>
      </w:r>
      <w:proofErr w:type="spellEnd"/>
      <w:r>
        <w:t xml:space="preserve"> </w:t>
      </w:r>
      <w:proofErr w:type="spellStart"/>
      <w:r>
        <w:t>International</w:t>
      </w:r>
      <w:proofErr w:type="spellEnd"/>
      <w:r>
        <w:t xml:space="preserve">. </w:t>
      </w:r>
      <w:proofErr w:type="spellStart"/>
      <w:r>
        <w:t>Hindawi</w:t>
      </w:r>
      <w:proofErr w:type="spellEnd"/>
      <w:r>
        <w:t xml:space="preserve"> </w:t>
      </w:r>
      <w:proofErr w:type="spellStart"/>
      <w:r>
        <w:t>Publishing</w:t>
      </w:r>
      <w:proofErr w:type="spellEnd"/>
      <w:r>
        <w:t xml:space="preserve"> Corporation; 2015.  </w:t>
      </w:r>
    </w:p>
    <w:p w:rsidR="005579F7" w:rsidRDefault="00622165">
      <w:pPr>
        <w:numPr>
          <w:ilvl w:val="0"/>
          <w:numId w:val="8"/>
        </w:numPr>
        <w:spacing w:line="259" w:lineRule="auto"/>
        <w:ind w:right="0" w:hanging="641"/>
        <w:jc w:val="left"/>
      </w:pPr>
      <w:r w:rsidRPr="00B1535A">
        <w:rPr>
          <w:lang w:val="en-US"/>
        </w:rPr>
        <w:t xml:space="preserve">Cho P, Yap M. Schirmer Test I. A review. </w:t>
      </w:r>
      <w:r>
        <w:t xml:space="preserve">1993;  </w:t>
      </w:r>
    </w:p>
    <w:p w:rsidR="005579F7" w:rsidRDefault="00622165">
      <w:pPr>
        <w:numPr>
          <w:ilvl w:val="0"/>
          <w:numId w:val="8"/>
        </w:numPr>
        <w:spacing w:after="3" w:line="241" w:lineRule="auto"/>
        <w:ind w:right="0" w:hanging="641"/>
        <w:jc w:val="left"/>
      </w:pPr>
      <w:proofErr w:type="spellStart"/>
      <w:r w:rsidRPr="00B1535A">
        <w:rPr>
          <w:lang w:val="en-US"/>
        </w:rPr>
        <w:t>Yetkin</w:t>
      </w:r>
      <w:proofErr w:type="spellEnd"/>
      <w:r w:rsidRPr="00B1535A">
        <w:rPr>
          <w:lang w:val="en-US"/>
        </w:rPr>
        <w:t xml:space="preserve"> E, </w:t>
      </w:r>
      <w:proofErr w:type="spellStart"/>
      <w:r w:rsidRPr="00B1535A">
        <w:rPr>
          <w:lang w:val="en-US"/>
        </w:rPr>
        <w:t>Sekeroglu</w:t>
      </w:r>
      <w:proofErr w:type="spellEnd"/>
      <w:r w:rsidRPr="00B1535A">
        <w:rPr>
          <w:lang w:val="en-US"/>
        </w:rPr>
        <w:t xml:space="preserve"> MA,</w:t>
      </w:r>
      <w:r w:rsidRPr="00B1535A">
        <w:rPr>
          <w:lang w:val="en-US"/>
        </w:rPr>
        <w:t xml:space="preserve"> Ibis MA, </w:t>
      </w:r>
      <w:proofErr w:type="spellStart"/>
      <w:r w:rsidRPr="00B1535A">
        <w:rPr>
          <w:lang w:val="en-US"/>
        </w:rPr>
        <w:t>Ozen</w:t>
      </w:r>
      <w:proofErr w:type="spellEnd"/>
      <w:r w:rsidRPr="00B1535A">
        <w:rPr>
          <w:lang w:val="en-US"/>
        </w:rPr>
        <w:t xml:space="preserve"> O. Evaluation of pupil responses and anterior chamber parameters in overactive bladder syndrome before and after antimuscarinic treatment. </w:t>
      </w:r>
      <w:proofErr w:type="spellStart"/>
      <w:r>
        <w:t>Eye</w:t>
      </w:r>
      <w:proofErr w:type="spellEnd"/>
      <w:r>
        <w:t xml:space="preserve"> (</w:t>
      </w:r>
      <w:proofErr w:type="spellStart"/>
      <w:r>
        <w:t>Basingstoke</w:t>
      </w:r>
      <w:proofErr w:type="spellEnd"/>
      <w:r>
        <w:t xml:space="preserve">). 2021 May 1;35(5):1450–8.  </w:t>
      </w:r>
    </w:p>
    <w:p w:rsidR="005579F7" w:rsidRDefault="00622165">
      <w:pPr>
        <w:numPr>
          <w:ilvl w:val="0"/>
          <w:numId w:val="8"/>
        </w:numPr>
        <w:spacing w:line="241" w:lineRule="auto"/>
        <w:ind w:right="0" w:hanging="641"/>
        <w:jc w:val="left"/>
      </w:pPr>
      <w:proofErr w:type="spellStart"/>
      <w:r w:rsidRPr="00B1535A">
        <w:rPr>
          <w:lang w:val="en-US"/>
        </w:rPr>
        <w:t>Barreiros</w:t>
      </w:r>
      <w:proofErr w:type="spellEnd"/>
      <w:r w:rsidRPr="00B1535A">
        <w:rPr>
          <w:lang w:val="en-US"/>
        </w:rPr>
        <w:t xml:space="preserve"> AP, Galle PR, Otto G. Familial amyloid polyneu</w:t>
      </w:r>
      <w:r w:rsidRPr="00B1535A">
        <w:rPr>
          <w:lang w:val="en-US"/>
        </w:rPr>
        <w:t xml:space="preserve">ropathy. Digestive Diseases. </w:t>
      </w:r>
      <w:r>
        <w:t xml:space="preserve">2013 Jun;31(1):170–4.  </w:t>
      </w:r>
    </w:p>
    <w:p w:rsidR="005579F7" w:rsidRDefault="00622165">
      <w:pPr>
        <w:numPr>
          <w:ilvl w:val="0"/>
          <w:numId w:val="8"/>
        </w:numPr>
        <w:spacing w:after="3" w:line="241" w:lineRule="auto"/>
        <w:ind w:right="0" w:hanging="641"/>
        <w:jc w:val="left"/>
      </w:pPr>
      <w:proofErr w:type="spellStart"/>
      <w:r>
        <w:lastRenderedPageBreak/>
        <w:t>Swiecicki</w:t>
      </w:r>
      <w:proofErr w:type="spellEnd"/>
      <w:r>
        <w:t xml:space="preserve"> PL, </w:t>
      </w:r>
      <w:proofErr w:type="spellStart"/>
      <w:r>
        <w:t>Zhen</w:t>
      </w:r>
      <w:proofErr w:type="spellEnd"/>
      <w:r>
        <w:t xml:space="preserve"> DB, </w:t>
      </w:r>
      <w:proofErr w:type="spellStart"/>
      <w:r>
        <w:t>Mauermann</w:t>
      </w:r>
      <w:proofErr w:type="spellEnd"/>
      <w:r>
        <w:t xml:space="preserve"> ML, </w:t>
      </w:r>
      <w:proofErr w:type="spellStart"/>
      <w:r>
        <w:t>Kyle</w:t>
      </w:r>
      <w:proofErr w:type="spellEnd"/>
      <w:r>
        <w:t xml:space="preserve"> RA, </w:t>
      </w:r>
      <w:proofErr w:type="spellStart"/>
      <w:r>
        <w:t>Zeldenrust</w:t>
      </w:r>
      <w:proofErr w:type="spellEnd"/>
      <w:r>
        <w:t xml:space="preserve"> SR, </w:t>
      </w:r>
      <w:proofErr w:type="spellStart"/>
      <w:r>
        <w:t>Grogan</w:t>
      </w:r>
      <w:proofErr w:type="spellEnd"/>
      <w:r>
        <w:t xml:space="preserve"> M, et al. </w:t>
      </w:r>
      <w:proofErr w:type="spellStart"/>
      <w:r>
        <w:t>Hereditary</w:t>
      </w:r>
      <w:proofErr w:type="spellEnd"/>
      <w:r>
        <w:t xml:space="preserve"> ATTR </w:t>
      </w:r>
      <w:proofErr w:type="spellStart"/>
      <w:r>
        <w:t>amyloidosis</w:t>
      </w:r>
      <w:proofErr w:type="spellEnd"/>
      <w:r>
        <w:t>: A single-</w:t>
      </w:r>
      <w:proofErr w:type="spellStart"/>
      <w:r>
        <w:t>institution</w:t>
      </w:r>
      <w:proofErr w:type="spellEnd"/>
      <w:r>
        <w:t xml:space="preserve"> </w:t>
      </w:r>
      <w:proofErr w:type="spellStart"/>
      <w:r>
        <w:t>experience</w:t>
      </w:r>
      <w:proofErr w:type="spellEnd"/>
      <w:r>
        <w:t xml:space="preserve"> </w:t>
      </w:r>
      <w:proofErr w:type="spellStart"/>
      <w:r>
        <w:t>with</w:t>
      </w:r>
      <w:proofErr w:type="spellEnd"/>
      <w:r>
        <w:t xml:space="preserve"> 266 </w:t>
      </w:r>
      <w:proofErr w:type="spellStart"/>
      <w:r>
        <w:t>patients</w:t>
      </w:r>
      <w:proofErr w:type="spellEnd"/>
      <w:r>
        <w:t xml:space="preserve">. </w:t>
      </w:r>
      <w:proofErr w:type="spellStart"/>
      <w:r>
        <w:t>Amyloid</w:t>
      </w:r>
      <w:proofErr w:type="spellEnd"/>
      <w:r>
        <w:t xml:space="preserve">. 2015 </w:t>
      </w:r>
      <w:proofErr w:type="spellStart"/>
      <w:r>
        <w:t>Jun</w:t>
      </w:r>
      <w:proofErr w:type="spellEnd"/>
      <w:r>
        <w:t xml:space="preserve"> 1;22(2):123–31.  </w:t>
      </w:r>
    </w:p>
    <w:p w:rsidR="005579F7" w:rsidRDefault="00622165">
      <w:pPr>
        <w:numPr>
          <w:ilvl w:val="0"/>
          <w:numId w:val="8"/>
        </w:numPr>
        <w:spacing w:after="3" w:line="241" w:lineRule="auto"/>
        <w:ind w:right="0" w:hanging="641"/>
        <w:jc w:val="left"/>
      </w:pPr>
      <w:proofErr w:type="spellStart"/>
      <w:r>
        <w:t>Dammacco</w:t>
      </w:r>
      <w:proofErr w:type="spellEnd"/>
      <w:r>
        <w:t xml:space="preserve"> </w:t>
      </w:r>
      <w:r>
        <w:t xml:space="preserve">R, </w:t>
      </w:r>
      <w:proofErr w:type="spellStart"/>
      <w:r>
        <w:t>Merlini</w:t>
      </w:r>
      <w:proofErr w:type="spellEnd"/>
      <w:r>
        <w:t xml:space="preserve"> G, </w:t>
      </w:r>
      <w:proofErr w:type="spellStart"/>
      <w:r>
        <w:t>Lisch</w:t>
      </w:r>
      <w:proofErr w:type="spellEnd"/>
      <w:r>
        <w:t xml:space="preserve"> W, </w:t>
      </w:r>
      <w:proofErr w:type="spellStart"/>
      <w:r>
        <w:t>Kivelä</w:t>
      </w:r>
      <w:proofErr w:type="spellEnd"/>
      <w:r>
        <w:t xml:space="preserve"> TT, </w:t>
      </w:r>
      <w:proofErr w:type="spellStart"/>
      <w:r>
        <w:t>Giancipoli</w:t>
      </w:r>
      <w:proofErr w:type="spellEnd"/>
      <w:r>
        <w:t xml:space="preserve"> E, </w:t>
      </w:r>
      <w:proofErr w:type="spellStart"/>
      <w:r>
        <w:t>Vacca</w:t>
      </w:r>
      <w:proofErr w:type="spellEnd"/>
      <w:r>
        <w:t xml:space="preserve"> A, et al. </w:t>
      </w:r>
      <w:proofErr w:type="spellStart"/>
      <w:r>
        <w:t>Amyloidosis</w:t>
      </w:r>
      <w:proofErr w:type="spellEnd"/>
      <w:r>
        <w:t xml:space="preserve"> </w:t>
      </w:r>
      <w:proofErr w:type="spellStart"/>
      <w:r>
        <w:t>and</w:t>
      </w:r>
      <w:proofErr w:type="spellEnd"/>
      <w:r>
        <w:t xml:space="preserve"> Ocular </w:t>
      </w:r>
      <w:proofErr w:type="spellStart"/>
      <w:r>
        <w:t>Involvement</w:t>
      </w:r>
      <w:proofErr w:type="spellEnd"/>
      <w:r>
        <w:t xml:space="preserve">: </w:t>
      </w:r>
      <w:proofErr w:type="spellStart"/>
      <w:r>
        <w:t>an</w:t>
      </w:r>
      <w:proofErr w:type="spellEnd"/>
      <w:r>
        <w:t xml:space="preserve"> Overview. Vol. 35, </w:t>
      </w:r>
      <w:proofErr w:type="spellStart"/>
      <w:r>
        <w:t>Seminars</w:t>
      </w:r>
      <w:proofErr w:type="spellEnd"/>
      <w:r>
        <w:t xml:space="preserve"> in </w:t>
      </w:r>
      <w:proofErr w:type="spellStart"/>
      <w:r>
        <w:t>Ophthalmology</w:t>
      </w:r>
      <w:proofErr w:type="spellEnd"/>
      <w:r>
        <w:t xml:space="preserve">. Taylor </w:t>
      </w:r>
      <w:proofErr w:type="spellStart"/>
      <w:r>
        <w:t>and</w:t>
      </w:r>
      <w:proofErr w:type="spellEnd"/>
      <w:r>
        <w:t xml:space="preserve"> Francis </w:t>
      </w:r>
      <w:proofErr w:type="spellStart"/>
      <w:r>
        <w:t>Ltd</w:t>
      </w:r>
      <w:proofErr w:type="spellEnd"/>
      <w:r>
        <w:t xml:space="preserve">; 2020. p. 7–26.  </w:t>
      </w:r>
    </w:p>
    <w:p w:rsidR="005579F7" w:rsidRDefault="00622165">
      <w:pPr>
        <w:numPr>
          <w:ilvl w:val="0"/>
          <w:numId w:val="8"/>
        </w:numPr>
        <w:spacing w:after="3" w:line="241" w:lineRule="auto"/>
        <w:ind w:right="0" w:hanging="641"/>
        <w:jc w:val="left"/>
      </w:pPr>
      <w:r>
        <w:t>Ruiz-</w:t>
      </w:r>
      <w:proofErr w:type="spellStart"/>
      <w:r>
        <w:t>Medrano</w:t>
      </w:r>
      <w:proofErr w:type="spellEnd"/>
      <w:r>
        <w:t xml:space="preserve"> J, </w:t>
      </w:r>
      <w:proofErr w:type="spellStart"/>
      <w:r>
        <w:t>Puertas</w:t>
      </w:r>
      <w:proofErr w:type="spellEnd"/>
      <w:r>
        <w:t xml:space="preserve"> M, </w:t>
      </w:r>
      <w:proofErr w:type="spellStart"/>
      <w:r>
        <w:t>Almazán</w:t>
      </w:r>
      <w:proofErr w:type="spellEnd"/>
      <w:r>
        <w:t xml:space="preserve">-Alonso E, Fernández-Jiménez M, </w:t>
      </w:r>
      <w:proofErr w:type="spellStart"/>
      <w:r>
        <w:t>FloresMoreno</w:t>
      </w:r>
      <w:proofErr w:type="spellEnd"/>
      <w:r>
        <w:t xml:space="preserve"> I, Salas </w:t>
      </w:r>
      <w:proofErr w:type="spellStart"/>
      <w:r>
        <w:t>Antón</w:t>
      </w:r>
      <w:proofErr w:type="spellEnd"/>
      <w:r>
        <w:t xml:space="preserve"> C, et al. </w:t>
      </w:r>
      <w:proofErr w:type="spellStart"/>
      <w:r>
        <w:t>Ophthalmologic</w:t>
      </w:r>
      <w:proofErr w:type="spellEnd"/>
      <w:r>
        <w:t xml:space="preserve"> </w:t>
      </w:r>
      <w:proofErr w:type="spellStart"/>
      <w:r>
        <w:t>Involvement</w:t>
      </w:r>
      <w:proofErr w:type="spellEnd"/>
      <w:r>
        <w:t xml:space="preserve"> </w:t>
      </w:r>
      <w:proofErr w:type="gramStart"/>
      <w:r>
        <w:t xml:space="preserve">in  </w:t>
      </w:r>
      <w:proofErr w:type="spellStart"/>
      <w:r>
        <w:t>Patients</w:t>
      </w:r>
      <w:proofErr w:type="spellEnd"/>
      <w:proofErr w:type="gramEnd"/>
      <w:r>
        <w:t xml:space="preserve"> </w:t>
      </w:r>
      <w:proofErr w:type="spellStart"/>
      <w:r>
        <w:t>with</w:t>
      </w:r>
      <w:proofErr w:type="spellEnd"/>
      <w:r>
        <w:t xml:space="preserve"> </w:t>
      </w:r>
      <w:proofErr w:type="spellStart"/>
      <w:r>
        <w:t>Hereditary</w:t>
      </w:r>
      <w:proofErr w:type="spellEnd"/>
      <w:r>
        <w:t xml:space="preserve"> </w:t>
      </w:r>
      <w:proofErr w:type="spellStart"/>
      <w:r>
        <w:t>Transthyretin</w:t>
      </w:r>
      <w:proofErr w:type="spellEnd"/>
      <w:r>
        <w:t xml:space="preserve"> </w:t>
      </w:r>
      <w:proofErr w:type="spellStart"/>
      <w:r>
        <w:t>Amyloidosis</w:t>
      </w:r>
      <w:proofErr w:type="spellEnd"/>
      <w:r>
        <w:t xml:space="preserve"> [Internet]. 2023. </w:t>
      </w:r>
      <w:proofErr w:type="spellStart"/>
      <w:r>
        <w:t>Available</w:t>
      </w:r>
      <w:proofErr w:type="spellEnd"/>
      <w:r>
        <w:t xml:space="preserve"> </w:t>
      </w:r>
      <w:proofErr w:type="spellStart"/>
      <w:r>
        <w:t>from</w:t>
      </w:r>
      <w:proofErr w:type="spellEnd"/>
      <w:r>
        <w:t xml:space="preserve">: </w:t>
      </w:r>
    </w:p>
    <w:p w:rsidR="005579F7" w:rsidRDefault="00622165">
      <w:pPr>
        <w:spacing w:line="259" w:lineRule="auto"/>
        <w:ind w:left="651" w:right="0"/>
      </w:pPr>
      <w:r>
        <w:t xml:space="preserve">http://journals.lww.com/retinajournal </w:t>
      </w:r>
    </w:p>
    <w:p w:rsidR="005579F7" w:rsidRDefault="00622165">
      <w:pPr>
        <w:spacing w:after="2"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pStyle w:val="Ttulo3"/>
        <w:ind w:left="-5" w:right="485"/>
      </w:pPr>
      <w:r>
        <w:t xml:space="preserve">9 APÊNDICES </w:t>
      </w:r>
    </w:p>
    <w:p w:rsidR="005579F7" w:rsidRDefault="00622165">
      <w:pPr>
        <w:spacing w:after="118" w:line="259" w:lineRule="auto"/>
        <w:ind w:left="0" w:right="0" w:firstLine="0"/>
        <w:jc w:val="left"/>
      </w:pPr>
      <w:r>
        <w:t xml:space="preserve"> </w:t>
      </w:r>
    </w:p>
    <w:p w:rsidR="005579F7" w:rsidRDefault="00622165">
      <w:pPr>
        <w:spacing w:line="259" w:lineRule="auto"/>
        <w:ind w:left="2" w:right="0"/>
      </w:pPr>
      <w:r>
        <w:rPr>
          <w:b/>
        </w:rPr>
        <w:t>APÊNDICE A</w:t>
      </w:r>
      <w:r>
        <w:t xml:space="preserve"> </w:t>
      </w:r>
      <w:r>
        <w:rPr>
          <w:b/>
        </w:rPr>
        <w:t xml:space="preserve">– </w:t>
      </w:r>
      <w:r>
        <w:t xml:space="preserve">Termo de Consentimento Livre e Esclarecido </w:t>
      </w:r>
    </w:p>
    <w:p w:rsidR="005579F7" w:rsidRDefault="00622165">
      <w:pPr>
        <w:spacing w:after="0" w:line="259" w:lineRule="auto"/>
        <w:ind w:left="-1" w:right="0" w:firstLine="0"/>
        <w:jc w:val="left"/>
      </w:pPr>
      <w:r>
        <w:rPr>
          <w:noProof/>
        </w:rPr>
        <w:lastRenderedPageBreak/>
        <w:drawing>
          <wp:inline distT="0" distB="0" distL="0" distR="0">
            <wp:extent cx="4800600" cy="6896100"/>
            <wp:effectExtent l="0" t="0" r="0" b="0"/>
            <wp:docPr id="3939" name="Picture 3939"/>
            <wp:cNvGraphicFramePr/>
            <a:graphic xmlns:a="http://schemas.openxmlformats.org/drawingml/2006/main">
              <a:graphicData uri="http://schemas.openxmlformats.org/drawingml/2006/picture">
                <pic:pic xmlns:pic="http://schemas.openxmlformats.org/drawingml/2006/picture">
                  <pic:nvPicPr>
                    <pic:cNvPr id="3939" name="Picture 3939"/>
                    <pic:cNvPicPr/>
                  </pic:nvPicPr>
                  <pic:blipFill>
                    <a:blip r:embed="rId16"/>
                    <a:stretch>
                      <a:fillRect/>
                    </a:stretch>
                  </pic:blipFill>
                  <pic:spPr>
                    <a:xfrm>
                      <a:off x="0" y="0"/>
                      <a:ext cx="4800600" cy="6896100"/>
                    </a:xfrm>
                    <a:prstGeom prst="rect">
                      <a:avLst/>
                    </a:prstGeom>
                  </pic:spPr>
                </pic:pic>
              </a:graphicData>
            </a:graphic>
          </wp:inline>
        </w:drawing>
      </w:r>
    </w:p>
    <w:p w:rsidR="005579F7" w:rsidRDefault="00622165">
      <w:pPr>
        <w:spacing w:after="65" w:line="259" w:lineRule="auto"/>
        <w:ind w:left="-1" w:right="1370" w:firstLine="0"/>
        <w:jc w:val="right"/>
      </w:pPr>
      <w:r>
        <w:rPr>
          <w:noProof/>
        </w:rPr>
        <w:lastRenderedPageBreak/>
        <w:drawing>
          <wp:inline distT="0" distB="0" distL="0" distR="0">
            <wp:extent cx="4851400" cy="7023100"/>
            <wp:effectExtent l="0" t="0" r="0" b="0"/>
            <wp:docPr id="3955" name="Picture 3955"/>
            <wp:cNvGraphicFramePr/>
            <a:graphic xmlns:a="http://schemas.openxmlformats.org/drawingml/2006/main">
              <a:graphicData uri="http://schemas.openxmlformats.org/drawingml/2006/picture">
                <pic:pic xmlns:pic="http://schemas.openxmlformats.org/drawingml/2006/picture">
                  <pic:nvPicPr>
                    <pic:cNvPr id="3955" name="Picture 3955"/>
                    <pic:cNvPicPr/>
                  </pic:nvPicPr>
                  <pic:blipFill>
                    <a:blip r:embed="rId17"/>
                    <a:stretch>
                      <a:fillRect/>
                    </a:stretch>
                  </pic:blipFill>
                  <pic:spPr>
                    <a:xfrm>
                      <a:off x="0" y="0"/>
                      <a:ext cx="4851400" cy="7023100"/>
                    </a:xfrm>
                    <a:prstGeom prst="rect">
                      <a:avLst/>
                    </a:prstGeom>
                  </pic:spPr>
                </pic:pic>
              </a:graphicData>
            </a:graphic>
          </wp:inline>
        </w:drawing>
      </w: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spacing w:after="65" w:line="259" w:lineRule="auto"/>
        <w:ind w:left="-1" w:right="1370" w:firstLine="0"/>
        <w:jc w:val="right"/>
      </w:pPr>
      <w:r>
        <w:rPr>
          <w:noProof/>
        </w:rPr>
        <w:lastRenderedPageBreak/>
        <w:drawing>
          <wp:inline distT="0" distB="0" distL="0" distR="0">
            <wp:extent cx="4851400" cy="7023100"/>
            <wp:effectExtent l="0" t="0" r="0" b="0"/>
            <wp:docPr id="3967" name="Picture 3967"/>
            <wp:cNvGraphicFramePr/>
            <a:graphic xmlns:a="http://schemas.openxmlformats.org/drawingml/2006/main">
              <a:graphicData uri="http://schemas.openxmlformats.org/drawingml/2006/picture">
                <pic:pic xmlns:pic="http://schemas.openxmlformats.org/drawingml/2006/picture">
                  <pic:nvPicPr>
                    <pic:cNvPr id="3967" name="Picture 3967"/>
                    <pic:cNvPicPr/>
                  </pic:nvPicPr>
                  <pic:blipFill>
                    <a:blip r:embed="rId17"/>
                    <a:stretch>
                      <a:fillRect/>
                    </a:stretch>
                  </pic:blipFill>
                  <pic:spPr>
                    <a:xfrm>
                      <a:off x="0" y="0"/>
                      <a:ext cx="4851400" cy="7023100"/>
                    </a:xfrm>
                    <a:prstGeom prst="rect">
                      <a:avLst/>
                    </a:prstGeom>
                  </pic:spPr>
                </pic:pic>
              </a:graphicData>
            </a:graphic>
          </wp:inline>
        </w:drawing>
      </w: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spacing w:after="64" w:line="259" w:lineRule="auto"/>
        <w:ind w:left="-1" w:right="1490" w:firstLine="0"/>
        <w:jc w:val="right"/>
      </w:pPr>
      <w:r>
        <w:rPr>
          <w:noProof/>
        </w:rPr>
        <w:lastRenderedPageBreak/>
        <w:drawing>
          <wp:inline distT="0" distB="0" distL="0" distR="0">
            <wp:extent cx="4775200" cy="6985000"/>
            <wp:effectExtent l="0" t="0" r="0" b="0"/>
            <wp:docPr id="3980" name="Picture 3980"/>
            <wp:cNvGraphicFramePr/>
            <a:graphic xmlns:a="http://schemas.openxmlformats.org/drawingml/2006/main">
              <a:graphicData uri="http://schemas.openxmlformats.org/drawingml/2006/picture">
                <pic:pic xmlns:pic="http://schemas.openxmlformats.org/drawingml/2006/picture">
                  <pic:nvPicPr>
                    <pic:cNvPr id="3980" name="Picture 3980"/>
                    <pic:cNvPicPr/>
                  </pic:nvPicPr>
                  <pic:blipFill>
                    <a:blip r:embed="rId18"/>
                    <a:stretch>
                      <a:fillRect/>
                    </a:stretch>
                  </pic:blipFill>
                  <pic:spPr>
                    <a:xfrm>
                      <a:off x="0" y="0"/>
                      <a:ext cx="4775200" cy="6985000"/>
                    </a:xfrm>
                    <a:prstGeom prst="rect">
                      <a:avLst/>
                    </a:prstGeom>
                  </pic:spPr>
                </pic:pic>
              </a:graphicData>
            </a:graphic>
          </wp:inline>
        </w:drawing>
      </w: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spacing w:after="64" w:line="259" w:lineRule="auto"/>
        <w:ind w:left="-1" w:right="1550" w:firstLine="0"/>
        <w:jc w:val="right"/>
      </w:pPr>
      <w:r>
        <w:rPr>
          <w:noProof/>
        </w:rPr>
        <w:lastRenderedPageBreak/>
        <w:drawing>
          <wp:inline distT="0" distB="0" distL="0" distR="0">
            <wp:extent cx="4737100" cy="6680200"/>
            <wp:effectExtent l="0" t="0" r="0" b="0"/>
            <wp:docPr id="3997" name="Picture 3997"/>
            <wp:cNvGraphicFramePr/>
            <a:graphic xmlns:a="http://schemas.openxmlformats.org/drawingml/2006/main">
              <a:graphicData uri="http://schemas.openxmlformats.org/drawingml/2006/picture">
                <pic:pic xmlns:pic="http://schemas.openxmlformats.org/drawingml/2006/picture">
                  <pic:nvPicPr>
                    <pic:cNvPr id="3997" name="Picture 3997"/>
                    <pic:cNvPicPr/>
                  </pic:nvPicPr>
                  <pic:blipFill>
                    <a:blip r:embed="rId19"/>
                    <a:stretch>
                      <a:fillRect/>
                    </a:stretch>
                  </pic:blipFill>
                  <pic:spPr>
                    <a:xfrm>
                      <a:off x="0" y="0"/>
                      <a:ext cx="4737100" cy="6680200"/>
                    </a:xfrm>
                    <a:prstGeom prst="rect">
                      <a:avLst/>
                    </a:prstGeom>
                  </pic:spPr>
                </pic:pic>
              </a:graphicData>
            </a:graphic>
          </wp:inline>
        </w:drawing>
      </w:r>
      <w:r>
        <w:t xml:space="preserve"> </w:t>
      </w:r>
    </w:p>
    <w:p w:rsidR="005579F7" w:rsidRDefault="00622165">
      <w:pPr>
        <w:spacing w:after="115" w:line="259" w:lineRule="auto"/>
        <w:ind w:left="0" w:right="0" w:firstLine="0"/>
        <w:jc w:val="left"/>
      </w:pPr>
      <w:r>
        <w:t xml:space="preserve"> </w:t>
      </w:r>
    </w:p>
    <w:p w:rsidR="005579F7" w:rsidRDefault="00622165">
      <w:pPr>
        <w:spacing w:after="118" w:line="259" w:lineRule="auto"/>
        <w:ind w:left="0" w:right="0" w:firstLine="0"/>
        <w:jc w:val="left"/>
      </w:pPr>
      <w:r>
        <w:rPr>
          <w:b/>
        </w:rP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5" w:line="259" w:lineRule="auto"/>
        <w:ind w:left="0" w:right="0" w:firstLine="0"/>
        <w:jc w:val="left"/>
      </w:pPr>
      <w:r>
        <w:t xml:space="preserve"> </w:t>
      </w:r>
    </w:p>
    <w:p w:rsidR="005579F7" w:rsidRDefault="00622165">
      <w:pPr>
        <w:spacing w:after="117" w:line="259" w:lineRule="auto"/>
        <w:ind w:left="0" w:right="0" w:firstLine="0"/>
        <w:jc w:val="left"/>
      </w:pPr>
      <w:r>
        <w:t xml:space="preserve"> </w:t>
      </w:r>
    </w:p>
    <w:p w:rsidR="005579F7" w:rsidRDefault="00622165">
      <w:pPr>
        <w:spacing w:after="0" w:line="259" w:lineRule="auto"/>
        <w:ind w:left="0" w:right="0" w:firstLine="0"/>
        <w:jc w:val="left"/>
      </w:pPr>
      <w:r>
        <w:t xml:space="preserve"> </w:t>
      </w:r>
    </w:p>
    <w:p w:rsidR="005579F7" w:rsidRDefault="00622165">
      <w:pPr>
        <w:pStyle w:val="Ttulo3"/>
        <w:ind w:left="-5" w:right="485"/>
      </w:pPr>
      <w:r>
        <w:lastRenderedPageBreak/>
        <w:t xml:space="preserve">10 ANEXOS </w:t>
      </w:r>
    </w:p>
    <w:p w:rsidR="005579F7" w:rsidRDefault="00622165">
      <w:pPr>
        <w:spacing w:after="108" w:line="259" w:lineRule="auto"/>
        <w:ind w:left="2" w:right="0"/>
      </w:pPr>
      <w:r>
        <w:rPr>
          <w:b/>
        </w:rPr>
        <w:t xml:space="preserve">ANEXO A – </w:t>
      </w:r>
      <w:r>
        <w:t xml:space="preserve">Parecer Consubstanciado do CEP </w:t>
      </w:r>
    </w:p>
    <w:p w:rsidR="005579F7" w:rsidRDefault="00622165">
      <w:pPr>
        <w:spacing w:after="64" w:line="259" w:lineRule="auto"/>
        <w:ind w:left="0" w:right="1339" w:firstLine="0"/>
        <w:jc w:val="right"/>
      </w:pPr>
      <w:r>
        <w:rPr>
          <w:rFonts w:ascii="Calibri" w:eastAsia="Calibri" w:hAnsi="Calibri" w:cs="Calibri"/>
          <w:noProof/>
          <w:sz w:val="22"/>
        </w:rPr>
        <mc:AlternateContent>
          <mc:Choice Requires="wpg">
            <w:drawing>
              <wp:inline distT="0" distB="0" distL="0" distR="0">
                <wp:extent cx="3980815" cy="7615556"/>
                <wp:effectExtent l="0" t="0" r="0" b="0"/>
                <wp:docPr id="33747" name="Group 33747"/>
                <wp:cNvGraphicFramePr/>
                <a:graphic xmlns:a="http://schemas.openxmlformats.org/drawingml/2006/main">
                  <a:graphicData uri="http://schemas.microsoft.com/office/word/2010/wordprocessingGroup">
                    <wpg:wgp>
                      <wpg:cNvGrpSpPr/>
                      <wpg:grpSpPr>
                        <a:xfrm>
                          <a:off x="0" y="0"/>
                          <a:ext cx="3980815" cy="7615556"/>
                          <a:chOff x="0" y="0"/>
                          <a:chExt cx="3980815" cy="7615556"/>
                        </a:xfrm>
                      </wpg:grpSpPr>
                      <wps:wsp>
                        <wps:cNvPr id="4018" name="Rectangle 4018"/>
                        <wps:cNvSpPr/>
                        <wps:spPr>
                          <a:xfrm>
                            <a:off x="3782695" y="7445629"/>
                            <a:ext cx="56314" cy="226002"/>
                          </a:xfrm>
                          <a:prstGeom prst="rect">
                            <a:avLst/>
                          </a:prstGeom>
                          <a:ln>
                            <a:noFill/>
                          </a:ln>
                        </wps:spPr>
                        <wps:txbx>
                          <w:txbxContent>
                            <w:p w:rsidR="005579F7" w:rsidRDefault="0062216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022" name="Picture 4022"/>
                          <pic:cNvPicPr/>
                        </pic:nvPicPr>
                        <pic:blipFill>
                          <a:blip r:embed="rId20"/>
                          <a:stretch>
                            <a:fillRect/>
                          </a:stretch>
                        </pic:blipFill>
                        <pic:spPr>
                          <a:xfrm>
                            <a:off x="0" y="0"/>
                            <a:ext cx="3980815" cy="4306444"/>
                          </a:xfrm>
                          <a:prstGeom prst="rect">
                            <a:avLst/>
                          </a:prstGeom>
                        </pic:spPr>
                      </pic:pic>
                      <pic:pic xmlns:pic="http://schemas.openxmlformats.org/drawingml/2006/picture">
                        <pic:nvPicPr>
                          <pic:cNvPr id="4024" name="Picture 4024"/>
                          <pic:cNvPicPr/>
                        </pic:nvPicPr>
                        <pic:blipFill>
                          <a:blip r:embed="rId21"/>
                          <a:stretch>
                            <a:fillRect/>
                          </a:stretch>
                        </pic:blipFill>
                        <pic:spPr>
                          <a:xfrm>
                            <a:off x="199644" y="4394074"/>
                            <a:ext cx="3577590" cy="3183636"/>
                          </a:xfrm>
                          <a:prstGeom prst="rect">
                            <a:avLst/>
                          </a:prstGeom>
                        </pic:spPr>
                      </pic:pic>
                    </wpg:wgp>
                  </a:graphicData>
                </a:graphic>
              </wp:inline>
            </w:drawing>
          </mc:Choice>
          <mc:Fallback xmlns:a="http://schemas.openxmlformats.org/drawingml/2006/main">
            <w:pict>
              <v:group id="Group 33747" style="width:313.45pt;height:599.65pt;mso-position-horizontal-relative:char;mso-position-vertical-relative:line" coordsize="39808,76155">
                <v:rect id="Rectangle 4018" style="position:absolute;width:563;height:2260;left:37826;top:74456;" filled="f" stroked="f">
                  <v:textbox inset="0,0,0,0">
                    <w:txbxContent>
                      <w:p>
                        <w:pPr>
                          <w:spacing w:before="0" w:after="160" w:line="259" w:lineRule="auto"/>
                          <w:ind w:left="0" w:right="0" w:firstLine="0"/>
                          <w:jc w:val="left"/>
                        </w:pPr>
                        <w:r>
                          <w:rPr/>
                          <w:t xml:space="preserve"> </w:t>
                        </w:r>
                      </w:p>
                    </w:txbxContent>
                  </v:textbox>
                </v:rect>
                <v:shape id="Picture 4022" style="position:absolute;width:39808;height:43064;left:0;top:0;" filled="f">
                  <v:imagedata r:id="rId22"/>
                </v:shape>
                <v:shape id="Picture 4024" style="position:absolute;width:35775;height:31836;left:1996;top:43940;" filled="f">
                  <v:imagedata r:id="rId23"/>
                </v:shape>
              </v:group>
            </w:pict>
          </mc:Fallback>
        </mc:AlternateContent>
      </w:r>
      <w:r>
        <w:t xml:space="preserve"> </w:t>
      </w:r>
    </w:p>
    <w:p w:rsidR="005579F7" w:rsidRDefault="00622165">
      <w:pPr>
        <w:spacing w:after="117" w:line="259" w:lineRule="auto"/>
        <w:ind w:left="0" w:right="0" w:firstLine="0"/>
        <w:jc w:val="left"/>
      </w:pPr>
      <w:r>
        <w:t xml:space="preserve"> </w:t>
      </w:r>
    </w:p>
    <w:p w:rsidR="005579F7" w:rsidRDefault="00622165">
      <w:pPr>
        <w:spacing w:after="0" w:line="259" w:lineRule="auto"/>
        <w:ind w:left="0" w:right="0" w:firstLine="0"/>
        <w:jc w:val="left"/>
      </w:pPr>
      <w:r>
        <w:t xml:space="preserve"> </w:t>
      </w:r>
    </w:p>
    <w:sectPr w:rsidR="005579F7">
      <w:headerReference w:type="even" r:id="rId24"/>
      <w:headerReference w:type="default" r:id="rId25"/>
      <w:headerReference w:type="first" r:id="rId26"/>
      <w:pgSz w:w="11906" w:h="16838"/>
      <w:pgMar w:top="1701" w:right="1127" w:bottom="1133" w:left="1702"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165" w:rsidRDefault="00622165">
      <w:pPr>
        <w:spacing w:after="0" w:line="240" w:lineRule="auto"/>
      </w:pPr>
      <w:r>
        <w:separator/>
      </w:r>
    </w:p>
  </w:endnote>
  <w:endnote w:type="continuationSeparator" w:id="0">
    <w:p w:rsidR="00622165" w:rsidRDefault="0062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165" w:rsidRDefault="00622165">
      <w:pPr>
        <w:spacing w:after="0" w:line="240" w:lineRule="auto"/>
      </w:pPr>
      <w:r>
        <w:separator/>
      </w:r>
    </w:p>
  </w:footnote>
  <w:footnote w:type="continuationSeparator" w:id="0">
    <w:p w:rsidR="00622165" w:rsidRDefault="00622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9F7" w:rsidRDefault="005579F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9F7" w:rsidRDefault="005579F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9F7" w:rsidRDefault="005579F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9F7" w:rsidRDefault="00622165">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5579F7" w:rsidRDefault="00622165">
    <w:pPr>
      <w:spacing w:after="0" w:line="259" w:lineRule="auto"/>
      <w:ind w:left="0" w:right="0" w:firstLine="0"/>
      <w:jc w:val="left"/>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9F7" w:rsidRDefault="00622165">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5579F7" w:rsidRDefault="00622165">
    <w:pPr>
      <w:spacing w:after="0" w:line="259" w:lineRule="auto"/>
      <w:ind w:left="0" w:right="0" w:firstLine="0"/>
      <w:jc w:val="left"/>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9F7" w:rsidRDefault="00622165">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5579F7" w:rsidRDefault="00622165">
    <w:pPr>
      <w:spacing w:after="0"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C72F3"/>
    <w:multiLevelType w:val="hybridMultilevel"/>
    <w:tmpl w:val="4E7668F4"/>
    <w:lvl w:ilvl="0" w:tplc="ED6E532E">
      <w:start w:val="5"/>
      <w:numFmt w:val="decimal"/>
      <w:lvlText w:val="%1"/>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CE01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A87E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229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24C0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C17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2F9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5687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B4A6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7530F0"/>
    <w:multiLevelType w:val="hybridMultilevel"/>
    <w:tmpl w:val="60D43804"/>
    <w:lvl w:ilvl="0" w:tplc="59FC951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AE74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6A136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2C1DC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C4E63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AEF9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C079F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CB2A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6E8D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5854A9"/>
    <w:multiLevelType w:val="hybridMultilevel"/>
    <w:tmpl w:val="358A48B8"/>
    <w:lvl w:ilvl="0" w:tplc="1688BF70">
      <w:start w:val="14"/>
      <w:numFmt w:val="decimal"/>
      <w:lvlText w:val="%1."/>
      <w:lvlJc w:val="left"/>
      <w:pPr>
        <w:ind w:left="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6C6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78FA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0E44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064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2209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3CDE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411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8E55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594659"/>
    <w:multiLevelType w:val="hybridMultilevel"/>
    <w:tmpl w:val="3294B9A0"/>
    <w:lvl w:ilvl="0" w:tplc="E97833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109E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DAF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587C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3E2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AAE2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98BF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CA72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A257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5A04EE"/>
    <w:multiLevelType w:val="hybridMultilevel"/>
    <w:tmpl w:val="7AA6C7D0"/>
    <w:lvl w:ilvl="0" w:tplc="F154E6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6C14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EA31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DCF1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10AF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2EA9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922A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B467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2E40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911A62"/>
    <w:multiLevelType w:val="hybridMultilevel"/>
    <w:tmpl w:val="9732F7C4"/>
    <w:lvl w:ilvl="0" w:tplc="A4FE20E8">
      <w:start w:val="1"/>
      <w:numFmt w:val="decimal"/>
      <w:lvlText w:val="%1."/>
      <w:lvlJc w:val="left"/>
      <w:pPr>
        <w:ind w:left="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C20A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7A64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184E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3AA2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6E16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5E09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DC30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F087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2C7222"/>
    <w:multiLevelType w:val="hybridMultilevel"/>
    <w:tmpl w:val="A5D2E66A"/>
    <w:lvl w:ilvl="0" w:tplc="0CC2E1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C19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C20D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92B7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4A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0C84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36CC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65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A6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5C4D72"/>
    <w:multiLevelType w:val="hybridMultilevel"/>
    <w:tmpl w:val="9BE2AE08"/>
    <w:lvl w:ilvl="0" w:tplc="189EE200">
      <w:start w:val="22"/>
      <w:numFmt w:val="decimal"/>
      <w:lvlText w:val="%1."/>
      <w:lvlJc w:val="left"/>
      <w:pPr>
        <w:ind w:left="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BC89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B017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CA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E32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ECA0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38BE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BE1C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3281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F7"/>
    <w:rsid w:val="0045545E"/>
    <w:rsid w:val="005579F7"/>
    <w:rsid w:val="00622165"/>
    <w:rsid w:val="00B15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FE3F8-6515-44B8-B723-6D77F6C4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54" w:lineRule="auto"/>
      <w:ind w:left="10" w:right="3"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119"/>
      <w:ind w:left="10" w:right="4"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19"/>
      <w:ind w:left="10" w:right="4" w:hanging="10"/>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spacing w:after="119"/>
      <w:ind w:left="10" w:right="4" w:hanging="10"/>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119"/>
      <w:ind w:left="10" w:right="4" w:hanging="10"/>
      <w:outlineLvl w:val="3"/>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24"/>
    </w:rPr>
  </w:style>
  <w:style w:type="character" w:customStyle="1" w:styleId="Ttulo4Char">
    <w:name w:val="Título 4 Char"/>
    <w:link w:val="Ttulo4"/>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paragraph" w:styleId="Sumrio1">
    <w:name w:val="toc 1"/>
    <w:hidden/>
    <w:pPr>
      <w:spacing w:after="5" w:line="432" w:lineRule="auto"/>
      <w:ind w:left="29" w:right="23" w:hanging="10"/>
      <w:jc w:val="both"/>
    </w:pPr>
    <w:rPr>
      <w:rFonts w:ascii="Arial" w:eastAsia="Arial" w:hAnsi="Arial" w:cs="Arial"/>
      <w:color w:val="000000"/>
      <w:sz w:val="24"/>
    </w:rPr>
  </w:style>
  <w:style w:type="paragraph" w:styleId="Sumrio2">
    <w:name w:val="toc 2"/>
    <w:hidden/>
    <w:pPr>
      <w:spacing w:after="212"/>
      <w:ind w:left="29" w:right="23"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10.jpg"/><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g"/><Relationship Id="rId22" Type="http://schemas.openxmlformats.org/officeDocument/2006/relationships/image" Target="media/image100.jp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9068</Words>
  <Characters>48971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SARDI CAMPOS</dc:creator>
  <cp:keywords/>
  <cp:lastModifiedBy>CARLA DA SILVA SANTOS - BIBLIOTECA BROTAS</cp:lastModifiedBy>
  <cp:revision>2</cp:revision>
  <dcterms:created xsi:type="dcterms:W3CDTF">2024-08-02T11:41:00Z</dcterms:created>
  <dcterms:modified xsi:type="dcterms:W3CDTF">2024-08-02T11:41:00Z</dcterms:modified>
</cp:coreProperties>
</file>