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68" w:rsidRDefault="00454288">
      <w:pPr>
        <w:spacing w:after="0" w:line="259" w:lineRule="auto"/>
        <w:ind w:left="0" w:firstLine="0"/>
        <w:jc w:val="left"/>
      </w:pPr>
      <w:r>
        <w:t xml:space="preserve"> </w:t>
      </w:r>
    </w:p>
    <w:p w:rsidR="00BE1A68" w:rsidRDefault="00454288">
      <w:pPr>
        <w:spacing w:after="124" w:line="259" w:lineRule="auto"/>
        <w:ind w:left="0" w:firstLine="0"/>
        <w:jc w:val="left"/>
      </w:pPr>
      <w:r>
        <w:t xml:space="preserve"> </w:t>
      </w:r>
    </w:p>
    <w:p w:rsidR="00BE1A68" w:rsidRDefault="00454288">
      <w:pPr>
        <w:spacing w:after="220" w:line="259" w:lineRule="auto"/>
        <w:ind w:left="0" w:right="2" w:firstLine="0"/>
        <w:jc w:val="center"/>
      </w:pPr>
      <w:r>
        <w:rPr>
          <w:noProof/>
        </w:rPr>
        <w:drawing>
          <wp:inline distT="0" distB="0" distL="0" distR="0">
            <wp:extent cx="2383790" cy="55941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2383790" cy="559410"/>
                    </a:xfrm>
                    <a:prstGeom prst="rect">
                      <a:avLst/>
                    </a:prstGeom>
                  </pic:spPr>
                </pic:pic>
              </a:graphicData>
            </a:graphic>
          </wp:inline>
        </w:drawing>
      </w:r>
      <w:r>
        <w:t xml:space="preserve"> </w:t>
      </w:r>
    </w:p>
    <w:p w:rsidR="00BE1A68" w:rsidRDefault="00454288">
      <w:pPr>
        <w:spacing w:after="273" w:line="259" w:lineRule="auto"/>
        <w:ind w:left="0" w:right="2" w:firstLine="0"/>
        <w:jc w:val="center"/>
      </w:pPr>
      <w:r>
        <w:t xml:space="preserve"> </w:t>
      </w:r>
    </w:p>
    <w:p w:rsidR="00BE1A68" w:rsidRDefault="00454288">
      <w:pPr>
        <w:spacing w:after="274" w:line="259" w:lineRule="auto"/>
        <w:ind w:left="10" w:right="64"/>
        <w:jc w:val="center"/>
      </w:pPr>
      <w:r>
        <w:rPr>
          <w:b/>
        </w:rPr>
        <w:t xml:space="preserve">ESCOLA BAHIANA DE MEDICINA E SAÚDE PÚBLICA </w:t>
      </w:r>
    </w:p>
    <w:p w:rsidR="00BE1A68" w:rsidRDefault="00454288">
      <w:pPr>
        <w:spacing w:after="274" w:line="259" w:lineRule="auto"/>
        <w:ind w:left="10" w:right="61"/>
        <w:jc w:val="center"/>
      </w:pPr>
      <w:r>
        <w:rPr>
          <w:b/>
        </w:rPr>
        <w:t xml:space="preserve">CURSO DE MEDICINA  </w:t>
      </w:r>
    </w:p>
    <w:p w:rsidR="00BE1A68" w:rsidRDefault="00454288">
      <w:pPr>
        <w:spacing w:after="273" w:line="259" w:lineRule="auto"/>
        <w:ind w:left="0" w:right="2" w:firstLine="0"/>
        <w:jc w:val="center"/>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73" w:line="259" w:lineRule="auto"/>
        <w:ind w:left="0" w:firstLine="0"/>
        <w:jc w:val="left"/>
      </w:pPr>
      <w:r>
        <w:rPr>
          <w:b/>
          <w:color w:val="FF0000"/>
        </w:rPr>
        <w:t xml:space="preserve"> </w:t>
      </w:r>
    </w:p>
    <w:p w:rsidR="00BE1A68" w:rsidRDefault="00454288">
      <w:pPr>
        <w:spacing w:after="274" w:line="259" w:lineRule="auto"/>
        <w:ind w:left="10" w:right="65"/>
        <w:jc w:val="center"/>
      </w:pPr>
      <w:r>
        <w:rPr>
          <w:b/>
        </w:rPr>
        <w:t xml:space="preserve">ALMÉRIO LIBÓRIO LOPES DE NORONHA FILHO </w:t>
      </w:r>
    </w:p>
    <w:p w:rsidR="00BE1A68" w:rsidRDefault="00454288">
      <w:pPr>
        <w:spacing w:after="273" w:line="259" w:lineRule="auto"/>
        <w:ind w:left="0" w:right="2" w:firstLine="0"/>
        <w:jc w:val="center"/>
      </w:pPr>
      <w:r>
        <w:rPr>
          <w:b/>
          <w:color w:val="FF0000"/>
        </w:rPr>
        <w:t xml:space="preserve"> </w:t>
      </w:r>
    </w:p>
    <w:p w:rsidR="00BE1A68" w:rsidRDefault="00454288">
      <w:pPr>
        <w:spacing w:after="274" w:line="259" w:lineRule="auto"/>
        <w:ind w:left="0" w:right="2" w:firstLine="0"/>
        <w:jc w:val="center"/>
      </w:pPr>
      <w:r>
        <w:rPr>
          <w:b/>
          <w:color w:val="FF0000"/>
        </w:rPr>
        <w:t xml:space="preserve"> </w:t>
      </w:r>
    </w:p>
    <w:p w:rsidR="00BE1A68" w:rsidRDefault="00454288">
      <w:pPr>
        <w:spacing w:after="276" w:line="259" w:lineRule="auto"/>
        <w:ind w:left="0" w:firstLine="0"/>
        <w:jc w:val="left"/>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158" w:line="358" w:lineRule="auto"/>
        <w:ind w:left="202"/>
        <w:jc w:val="left"/>
      </w:pPr>
      <w:r>
        <w:rPr>
          <w:b/>
        </w:rPr>
        <w:t xml:space="preserve">AVALIAÇÃO DA RESPOSTA INFLAMATÓRIA </w:t>
      </w:r>
      <w:r>
        <w:rPr>
          <w:b/>
          <w:i/>
        </w:rPr>
        <w:t>IN SITU</w:t>
      </w:r>
      <w:r>
        <w:rPr>
          <w:b/>
        </w:rPr>
        <w:t xml:space="preserve"> EM INDIVÍDUOS COM LEISHMANIOSE CUTÂNEA COM INTRADERMORREAÇÃO DE MONTENEGRO NEGATIVA </w:t>
      </w:r>
    </w:p>
    <w:p w:rsidR="00BE1A68" w:rsidRDefault="00454288">
      <w:pPr>
        <w:spacing w:after="274" w:line="259" w:lineRule="auto"/>
        <w:ind w:left="0" w:right="2" w:firstLine="0"/>
        <w:jc w:val="center"/>
      </w:pPr>
      <w:r>
        <w:rPr>
          <w:b/>
          <w:color w:val="FF0000"/>
        </w:rPr>
        <w:t xml:space="preserve"> </w:t>
      </w:r>
    </w:p>
    <w:p w:rsidR="00BE1A68" w:rsidRDefault="00454288">
      <w:pPr>
        <w:spacing w:after="273" w:line="259" w:lineRule="auto"/>
        <w:ind w:left="0" w:firstLine="0"/>
        <w:jc w:val="left"/>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74" w:line="259" w:lineRule="auto"/>
        <w:ind w:left="10" w:right="66"/>
        <w:jc w:val="center"/>
      </w:pPr>
      <w:r>
        <w:rPr>
          <w:b/>
        </w:rPr>
        <w:t xml:space="preserve">TRABALHO DE CONCLUSÃO DE CURSO </w:t>
      </w:r>
    </w:p>
    <w:p w:rsidR="00BE1A68" w:rsidRDefault="00454288">
      <w:pPr>
        <w:spacing w:after="276" w:line="259" w:lineRule="auto"/>
        <w:ind w:left="0" w:firstLine="0"/>
        <w:jc w:val="left"/>
      </w:pPr>
      <w:r>
        <w:rPr>
          <w:b/>
          <w:color w:val="FF0000"/>
        </w:rPr>
        <w:t xml:space="preserve"> </w:t>
      </w:r>
    </w:p>
    <w:p w:rsidR="00BE1A68" w:rsidRDefault="00454288">
      <w:pPr>
        <w:spacing w:after="274" w:line="259" w:lineRule="auto"/>
        <w:ind w:left="0" w:firstLine="0"/>
        <w:jc w:val="left"/>
      </w:pPr>
      <w:r>
        <w:rPr>
          <w:b/>
          <w:color w:val="FF0000"/>
        </w:rPr>
        <w:t xml:space="preserve"> </w:t>
      </w:r>
    </w:p>
    <w:p w:rsidR="00BE1A68" w:rsidRDefault="00454288">
      <w:pPr>
        <w:spacing w:after="273" w:line="259" w:lineRule="auto"/>
        <w:ind w:left="0" w:firstLine="0"/>
        <w:jc w:val="left"/>
      </w:pPr>
      <w:r>
        <w:rPr>
          <w:b/>
          <w:color w:val="FF0000"/>
        </w:rPr>
        <w:t xml:space="preserve"> </w:t>
      </w:r>
    </w:p>
    <w:p w:rsidR="00BE1A68" w:rsidRDefault="00454288">
      <w:pPr>
        <w:pStyle w:val="Ttulo6"/>
        <w:ind w:right="61"/>
      </w:pPr>
      <w:r>
        <w:lastRenderedPageBreak/>
        <w:t xml:space="preserve">SALVADOR </w:t>
      </w:r>
    </w:p>
    <w:p w:rsidR="00BE1A68" w:rsidRDefault="00454288">
      <w:pPr>
        <w:spacing w:after="274" w:line="259" w:lineRule="auto"/>
        <w:ind w:left="10" w:right="62"/>
        <w:jc w:val="center"/>
      </w:pPr>
      <w:r>
        <w:rPr>
          <w:b/>
        </w:rPr>
        <w:t xml:space="preserve">2023 </w:t>
      </w:r>
    </w:p>
    <w:p w:rsidR="00BE1A68" w:rsidRDefault="00454288">
      <w:pPr>
        <w:spacing w:after="0" w:line="259" w:lineRule="auto"/>
        <w:ind w:left="0" w:firstLine="0"/>
        <w:jc w:val="right"/>
      </w:pPr>
      <w:r>
        <w:t xml:space="preserve"> </w:t>
      </w:r>
    </w:p>
    <w:p w:rsidR="00BE1A68" w:rsidRDefault="00454288">
      <w:pPr>
        <w:spacing w:after="134" w:line="259" w:lineRule="auto"/>
        <w:ind w:left="0" w:firstLine="0"/>
        <w:jc w:val="left"/>
      </w:pPr>
      <w:r>
        <w:t xml:space="preserve"> </w:t>
      </w:r>
    </w:p>
    <w:p w:rsidR="00BE1A68" w:rsidRDefault="00454288">
      <w:pPr>
        <w:spacing w:after="274" w:line="259" w:lineRule="auto"/>
        <w:ind w:left="10" w:right="65"/>
        <w:jc w:val="center"/>
      </w:pPr>
      <w:r>
        <w:rPr>
          <w:b/>
        </w:rPr>
        <w:t xml:space="preserve">ALMÉRIO LIBÓRIO LOPES DE NORONHA FILHO </w:t>
      </w:r>
    </w:p>
    <w:p w:rsidR="00BE1A68" w:rsidRDefault="00454288">
      <w:pPr>
        <w:spacing w:after="273" w:line="259" w:lineRule="auto"/>
        <w:ind w:left="0" w:right="2" w:firstLine="0"/>
        <w:jc w:val="center"/>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76" w:line="259" w:lineRule="auto"/>
        <w:ind w:left="0" w:right="2" w:firstLine="0"/>
        <w:jc w:val="center"/>
      </w:pPr>
      <w:r>
        <w:rPr>
          <w:b/>
          <w:color w:val="FF0000"/>
        </w:rPr>
        <w:t xml:space="preserve"> </w:t>
      </w:r>
    </w:p>
    <w:p w:rsidR="00BE1A68" w:rsidRDefault="00454288">
      <w:pPr>
        <w:spacing w:after="274" w:line="259" w:lineRule="auto"/>
        <w:ind w:left="0" w:right="2" w:firstLine="0"/>
        <w:jc w:val="center"/>
      </w:pPr>
      <w:r>
        <w:rPr>
          <w:b/>
          <w:color w:val="FF0000"/>
        </w:rPr>
        <w:t xml:space="preserve"> </w:t>
      </w:r>
    </w:p>
    <w:p w:rsidR="00BE1A68" w:rsidRDefault="00454288">
      <w:pPr>
        <w:pStyle w:val="Ttulo6"/>
        <w:spacing w:after="158" w:line="358" w:lineRule="auto"/>
        <w:ind w:left="202" w:right="0"/>
        <w:jc w:val="left"/>
      </w:pPr>
      <w:r>
        <w:t xml:space="preserve">AVALIAÇÃO DA RESPOSTA INFLAMATÓRIA </w:t>
      </w:r>
      <w:r>
        <w:rPr>
          <w:i/>
        </w:rPr>
        <w:t>IN SITU</w:t>
      </w:r>
      <w:r>
        <w:t xml:space="preserve"> EM INDIVÍDUOS COM LEISHMANIOSE CUTÂNEA COM INTRADERMORREAÇÃO DE MONTENEGRO NEGATIVA </w:t>
      </w:r>
    </w:p>
    <w:p w:rsidR="00BE1A68" w:rsidRDefault="00454288">
      <w:pPr>
        <w:spacing w:after="273" w:line="259" w:lineRule="auto"/>
        <w:ind w:left="0" w:right="2" w:firstLine="0"/>
        <w:jc w:val="center"/>
      </w:pPr>
      <w:r>
        <w:rPr>
          <w:b/>
          <w:color w:val="FF0000"/>
        </w:rPr>
        <w:t xml:space="preserve"> </w:t>
      </w:r>
    </w:p>
    <w:p w:rsidR="00BE1A68" w:rsidRDefault="00454288">
      <w:pPr>
        <w:spacing w:after="274" w:line="259" w:lineRule="auto"/>
        <w:ind w:left="0" w:right="2" w:firstLine="0"/>
        <w:jc w:val="center"/>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56" w:line="259" w:lineRule="auto"/>
        <w:ind w:left="0" w:right="2" w:firstLine="0"/>
        <w:jc w:val="center"/>
      </w:pPr>
      <w:r>
        <w:rPr>
          <w:b/>
          <w:color w:val="FF0000"/>
        </w:rPr>
        <w:t xml:space="preserve"> </w:t>
      </w:r>
    </w:p>
    <w:p w:rsidR="00BE1A68" w:rsidRDefault="00454288">
      <w:pPr>
        <w:spacing w:after="177" w:line="356" w:lineRule="auto"/>
        <w:ind w:left="3545" w:right="58" w:firstLine="704"/>
      </w:pPr>
      <w:r>
        <w:rPr>
          <w:sz w:val="22"/>
        </w:rPr>
        <w:t xml:space="preserve">Trabalho de Conclusão de Curso apresentado ao curso de graduação em Medicina da Escola </w:t>
      </w:r>
      <w:proofErr w:type="spellStart"/>
      <w:r>
        <w:rPr>
          <w:sz w:val="22"/>
        </w:rPr>
        <w:t>Bahiana</w:t>
      </w:r>
      <w:proofErr w:type="spellEnd"/>
      <w:r>
        <w:rPr>
          <w:sz w:val="22"/>
        </w:rPr>
        <w:t xml:space="preserve"> de Medicina e Saúde Pública para aprovação parcial no 4º ano do curso de Medicina. </w:t>
      </w:r>
    </w:p>
    <w:p w:rsidR="00BE1A68" w:rsidRDefault="00454288">
      <w:pPr>
        <w:spacing w:after="274" w:line="259" w:lineRule="auto"/>
        <w:ind w:right="339"/>
      </w:pPr>
      <w:r>
        <w:t xml:space="preserve">Orientador(a): Dr. Sérgio Marcos Arruda </w:t>
      </w:r>
    </w:p>
    <w:p w:rsidR="00BE1A68" w:rsidRDefault="00454288">
      <w:pPr>
        <w:spacing w:after="273" w:line="259" w:lineRule="auto"/>
        <w:ind w:left="0" w:firstLine="0"/>
        <w:jc w:val="left"/>
      </w:pPr>
      <w:r>
        <w:rPr>
          <w:b/>
          <w:color w:val="FF0000"/>
        </w:rPr>
        <w:t xml:space="preserve"> </w:t>
      </w:r>
    </w:p>
    <w:p w:rsidR="00BE1A68" w:rsidRDefault="00454288">
      <w:pPr>
        <w:spacing w:after="273" w:line="259" w:lineRule="auto"/>
        <w:ind w:left="0" w:firstLine="0"/>
        <w:jc w:val="left"/>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73" w:line="259" w:lineRule="auto"/>
        <w:ind w:left="0" w:right="2" w:firstLine="0"/>
        <w:jc w:val="center"/>
      </w:pPr>
      <w:r>
        <w:rPr>
          <w:b/>
          <w:color w:val="FF0000"/>
        </w:rPr>
        <w:t xml:space="preserve"> </w:t>
      </w:r>
    </w:p>
    <w:p w:rsidR="00BE1A68" w:rsidRDefault="00454288">
      <w:pPr>
        <w:spacing w:after="276" w:line="259" w:lineRule="auto"/>
        <w:ind w:left="0" w:right="2" w:firstLine="0"/>
        <w:jc w:val="center"/>
      </w:pPr>
      <w:r>
        <w:rPr>
          <w:b/>
          <w:color w:val="FF0000"/>
        </w:rPr>
        <w:t xml:space="preserve"> </w:t>
      </w:r>
    </w:p>
    <w:p w:rsidR="00BE1A68" w:rsidRDefault="00454288">
      <w:pPr>
        <w:spacing w:after="273" w:line="259" w:lineRule="auto"/>
        <w:ind w:left="0" w:right="2" w:firstLine="0"/>
        <w:jc w:val="center"/>
      </w:pPr>
      <w:r>
        <w:rPr>
          <w:b/>
          <w:color w:val="FF0000"/>
        </w:rPr>
        <w:lastRenderedPageBreak/>
        <w:t xml:space="preserve"> </w:t>
      </w:r>
    </w:p>
    <w:p w:rsidR="00BE1A68" w:rsidRDefault="00454288">
      <w:pPr>
        <w:pStyle w:val="Ttulo6"/>
        <w:ind w:right="60"/>
      </w:pPr>
      <w:r>
        <w:t xml:space="preserve">SALVADOR </w:t>
      </w:r>
    </w:p>
    <w:p w:rsidR="00BE1A68" w:rsidRDefault="00454288">
      <w:pPr>
        <w:spacing w:after="274" w:line="259" w:lineRule="auto"/>
        <w:ind w:left="10" w:right="62"/>
        <w:jc w:val="center"/>
      </w:pPr>
      <w:r>
        <w:rPr>
          <w:b/>
        </w:rPr>
        <w:t xml:space="preserve">2023 </w:t>
      </w:r>
    </w:p>
    <w:p w:rsidR="00BE1A68" w:rsidRDefault="00454288">
      <w:pPr>
        <w:pStyle w:val="Ttulo6"/>
        <w:ind w:right="65"/>
      </w:pPr>
      <w:r>
        <w:t xml:space="preserve">AGRADECIMENTOS </w:t>
      </w:r>
    </w:p>
    <w:p w:rsidR="00BE1A68" w:rsidRDefault="00454288">
      <w:pPr>
        <w:spacing w:after="273" w:line="259" w:lineRule="auto"/>
        <w:ind w:left="0" w:firstLine="0"/>
        <w:jc w:val="left"/>
      </w:pPr>
      <w:r>
        <w:t xml:space="preserve"> </w:t>
      </w:r>
    </w:p>
    <w:p w:rsidR="00BE1A68" w:rsidRDefault="00454288">
      <w:pPr>
        <w:ind w:left="-15" w:firstLine="708"/>
      </w:pPr>
      <w:r>
        <w:t xml:space="preserve">A produção deste trabalho de conclusão de curso foi possibilitada devido à ajuda de diversas pessoas, dentre as quais agradeço: </w:t>
      </w:r>
    </w:p>
    <w:p w:rsidR="00BE1A68" w:rsidRDefault="00454288">
      <w:pPr>
        <w:ind w:left="-15" w:right="63" w:firstLine="708"/>
      </w:pPr>
      <w:r>
        <w:t>A meu professor orientador, Dr. Sérgio Arruda, por todo o auxílio, persistência e determinação para que levás</w:t>
      </w:r>
      <w:r>
        <w:t xml:space="preserve">semos o projeto adiante. Seus ensinamentos foram muito enriquecedores e agregaram enormemente à minha formação. </w:t>
      </w:r>
    </w:p>
    <w:p w:rsidR="00BE1A68" w:rsidRDefault="00454288">
      <w:pPr>
        <w:spacing w:after="271" w:line="259" w:lineRule="auto"/>
        <w:ind w:left="10" w:right="144"/>
        <w:jc w:val="center"/>
      </w:pPr>
      <w:r>
        <w:t xml:space="preserve">A Dr. Edgar Carvalho, pelas discussões científicas e incentivo ao estudo. </w:t>
      </w:r>
    </w:p>
    <w:p w:rsidR="00BE1A68" w:rsidRDefault="00454288">
      <w:pPr>
        <w:ind w:left="-15" w:firstLine="708"/>
      </w:pPr>
      <w:r>
        <w:t>A Dr. Lucas Carvalho, pela possibilidade de poder realizar este estu</w:t>
      </w:r>
      <w:r>
        <w:t xml:space="preserve">do, bem como pelo grande suporte prestado durante os últimos dois anos. </w:t>
      </w:r>
    </w:p>
    <w:p w:rsidR="00BE1A68" w:rsidRDefault="00454288">
      <w:pPr>
        <w:ind w:left="-15" w:right="59" w:firstLine="708"/>
      </w:pPr>
      <w:r>
        <w:t>A Débora por todo o ensino, companheirismo e contribuições valiosas; por ter me guiado na seleção correta de pacientes, na realização das imuno-histoquímicas, bem como em sua quantifi</w:t>
      </w:r>
      <w:r>
        <w:t xml:space="preserve">cação. </w:t>
      </w:r>
    </w:p>
    <w:p w:rsidR="00BE1A68" w:rsidRDefault="00454288">
      <w:pPr>
        <w:ind w:left="-15" w:right="61" w:firstLine="708"/>
      </w:pPr>
      <w:r>
        <w:t xml:space="preserve">A toda a equipe do LAPEC (Laboratório de Pesquisas Clínicas), bem como do Serviço de </w:t>
      </w:r>
      <w:proofErr w:type="spellStart"/>
      <w:r>
        <w:t>Histotecnologia</w:t>
      </w:r>
      <w:proofErr w:type="spellEnd"/>
      <w:r>
        <w:t xml:space="preserve"> da FIOCRUZ – BA, responsável pelo corte dos fragmentos de biópsia e pela coloração das lâminas utilizadas no estudo. </w:t>
      </w:r>
    </w:p>
    <w:p w:rsidR="00BE1A68" w:rsidRDefault="00454288">
      <w:pPr>
        <w:ind w:left="-15" w:firstLine="708"/>
      </w:pPr>
      <w:r>
        <w:t xml:space="preserve">A meu pai, </w:t>
      </w:r>
      <w:proofErr w:type="spellStart"/>
      <w:r>
        <w:t>Almério</w:t>
      </w:r>
      <w:proofErr w:type="spellEnd"/>
      <w:r>
        <w:t>, e a minha</w:t>
      </w:r>
      <w:r>
        <w:t xml:space="preserve"> mãe, </w:t>
      </w:r>
      <w:proofErr w:type="spellStart"/>
      <w:r>
        <w:t>Pattrícia</w:t>
      </w:r>
      <w:proofErr w:type="spellEnd"/>
      <w:r>
        <w:t xml:space="preserve">, pelo suporte incondicional em toda minha trajetória acadêmica e por todos os ensinamentos valiosos desde meu nascimento. </w:t>
      </w:r>
    </w:p>
    <w:p w:rsidR="00BE1A68" w:rsidRDefault="00454288">
      <w:pPr>
        <w:ind w:left="-15" w:firstLine="708"/>
      </w:pPr>
      <w:r>
        <w:t xml:space="preserve">A meus irmãos, Maria </w:t>
      </w:r>
      <w:proofErr w:type="spellStart"/>
      <w:r>
        <w:t>Alícia</w:t>
      </w:r>
      <w:proofErr w:type="spellEnd"/>
      <w:r>
        <w:t>, Úrsula e Miguel, os quais amo e com quem sei que posso contar sempre, por estarem presen</w:t>
      </w:r>
      <w:r>
        <w:t xml:space="preserve">tes. </w:t>
      </w:r>
    </w:p>
    <w:p w:rsidR="00BE1A68" w:rsidRDefault="00454288">
      <w:pPr>
        <w:ind w:left="-15" w:firstLine="708"/>
      </w:pPr>
      <w:r>
        <w:t xml:space="preserve">A meus tios, avós e demais membros da minha família, que foram fundamentais para minha educação e sempre me apoiaram. </w:t>
      </w:r>
    </w:p>
    <w:p w:rsidR="00BE1A68" w:rsidRDefault="00454288">
      <w:pPr>
        <w:ind w:left="-15" w:right="60" w:firstLine="708"/>
      </w:pPr>
      <w:r>
        <w:t>A todos os professores que participaram de minha formação desde o ensino infantil, por terem contribuído para que eu pudesse cresce</w:t>
      </w:r>
      <w:r>
        <w:t xml:space="preserve">r intelectualmente e me conscientizar. </w:t>
      </w:r>
    </w:p>
    <w:p w:rsidR="00BE1A68" w:rsidRDefault="00454288">
      <w:pPr>
        <w:ind w:left="-15" w:firstLine="708"/>
      </w:pPr>
      <w:r>
        <w:lastRenderedPageBreak/>
        <w:t xml:space="preserve">A meus amigos, com quem posso dividir as frustrações e alegrias, por tornarem a graduação muito mais leve e aprazível. </w:t>
      </w:r>
    </w:p>
    <w:p w:rsidR="00BE1A68" w:rsidRDefault="00454288">
      <w:pPr>
        <w:spacing w:after="271" w:line="259" w:lineRule="auto"/>
        <w:ind w:left="10" w:right="232"/>
        <w:jc w:val="center"/>
      </w:pPr>
      <w:r>
        <w:t xml:space="preserve">A todos que me ajudaram dalguma forma, mas não foram mencionados.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6" w:line="259" w:lineRule="auto"/>
        <w:ind w:left="569" w:firstLine="0"/>
        <w:jc w:val="center"/>
      </w:pPr>
      <w:r>
        <w:t xml:space="preserve"> </w:t>
      </w:r>
    </w:p>
    <w:p w:rsidR="00BE1A68" w:rsidRDefault="00454288">
      <w:pPr>
        <w:spacing w:after="274"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6"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4" w:line="259" w:lineRule="auto"/>
        <w:ind w:left="569" w:firstLine="0"/>
        <w:jc w:val="center"/>
      </w:pPr>
      <w:r>
        <w:t xml:space="preserve"> </w:t>
      </w:r>
    </w:p>
    <w:p w:rsidR="00BE1A68" w:rsidRDefault="00454288">
      <w:pPr>
        <w:spacing w:after="273" w:line="259" w:lineRule="auto"/>
        <w:ind w:left="569" w:firstLine="0"/>
        <w:jc w:val="center"/>
      </w:pPr>
      <w:r>
        <w:t xml:space="preserve"> </w:t>
      </w:r>
    </w:p>
    <w:p w:rsidR="00BE1A68" w:rsidRDefault="00454288">
      <w:pPr>
        <w:spacing w:after="276" w:line="259" w:lineRule="auto"/>
        <w:ind w:left="569" w:firstLine="0"/>
        <w:jc w:val="center"/>
      </w:pPr>
      <w:r>
        <w:t xml:space="preserve"> </w:t>
      </w:r>
    </w:p>
    <w:p w:rsidR="00BE1A68" w:rsidRDefault="00454288">
      <w:pPr>
        <w:spacing w:after="273" w:line="259" w:lineRule="auto"/>
        <w:ind w:left="0" w:firstLine="0"/>
        <w:jc w:val="left"/>
      </w:pPr>
      <w:r>
        <w:t xml:space="preserve"> </w:t>
      </w:r>
    </w:p>
    <w:p w:rsidR="00BE1A68" w:rsidRDefault="00454288">
      <w:pPr>
        <w:spacing w:after="275" w:line="259" w:lineRule="auto"/>
        <w:ind w:left="569" w:firstLine="0"/>
        <w:jc w:val="center"/>
      </w:pPr>
      <w:r>
        <w:t xml:space="preserve"> </w:t>
      </w:r>
    </w:p>
    <w:p w:rsidR="00BE1A68" w:rsidRDefault="00454288">
      <w:pPr>
        <w:spacing w:after="9" w:line="356" w:lineRule="auto"/>
        <w:ind w:left="4537" w:firstLine="0"/>
        <w:jc w:val="left"/>
      </w:pPr>
      <w:r>
        <w:t>“</w:t>
      </w:r>
      <w:r>
        <w:rPr>
          <w:i/>
        </w:rPr>
        <w:t xml:space="preserve">Por que você está procurando harmonia? Há harmonia em todas as </w:t>
      </w:r>
    </w:p>
    <w:p w:rsidR="00BE1A68" w:rsidRDefault="00454288">
      <w:pPr>
        <w:spacing w:after="273" w:line="259" w:lineRule="auto"/>
        <w:ind w:left="1275" w:firstLine="0"/>
        <w:jc w:val="center"/>
      </w:pPr>
      <w:r>
        <w:rPr>
          <w:i/>
        </w:rPr>
        <w:t>coisas.</w:t>
      </w:r>
      <w:r>
        <w:t xml:space="preserve">” </w:t>
      </w:r>
    </w:p>
    <w:p w:rsidR="00BE1A68" w:rsidRDefault="00454288">
      <w:pPr>
        <w:spacing w:after="271" w:line="259" w:lineRule="auto"/>
        <w:ind w:left="1224"/>
        <w:jc w:val="center"/>
      </w:pPr>
      <w:proofErr w:type="spellStart"/>
      <w:r>
        <w:lastRenderedPageBreak/>
        <w:t>Grimes</w:t>
      </w:r>
      <w:proofErr w:type="spellEnd"/>
      <w:r>
        <w:t xml:space="preserve"> </w:t>
      </w:r>
    </w:p>
    <w:p w:rsidR="00BE1A68" w:rsidRDefault="00454288">
      <w:pPr>
        <w:pStyle w:val="Ttulo6"/>
        <w:spacing w:after="158"/>
        <w:ind w:right="61"/>
      </w:pPr>
      <w:r>
        <w:t xml:space="preserve">RESUMO </w:t>
      </w:r>
    </w:p>
    <w:p w:rsidR="00BE1A68" w:rsidRDefault="00454288">
      <w:pPr>
        <w:spacing w:after="141" w:line="259" w:lineRule="auto"/>
        <w:ind w:left="0" w:right="2" w:firstLine="0"/>
        <w:jc w:val="center"/>
      </w:pPr>
      <w:r>
        <w:rPr>
          <w:b/>
        </w:rPr>
        <w:t xml:space="preserve"> </w:t>
      </w:r>
    </w:p>
    <w:p w:rsidR="00BE1A68" w:rsidRDefault="00454288">
      <w:pPr>
        <w:spacing w:line="239" w:lineRule="auto"/>
        <w:ind w:left="-5" w:right="57"/>
      </w:pPr>
      <w:r>
        <w:rPr>
          <w:b/>
        </w:rPr>
        <w:t>Introdução</w:t>
      </w:r>
      <w:r>
        <w:t xml:space="preserve">: O termo “leishmaniose” refere-se a um conjunto de doenças tropicais negligenciadas causadas pelo protozoário do gênero </w:t>
      </w:r>
      <w:proofErr w:type="spellStart"/>
      <w:r>
        <w:rPr>
          <w:i/>
        </w:rPr>
        <w:t>Leishmania</w:t>
      </w:r>
      <w:proofErr w:type="spellEnd"/>
      <w:r>
        <w:t xml:space="preserve">. </w:t>
      </w:r>
      <w:r>
        <w:t xml:space="preserve">Ele é transmitido ao homem durante o repasto sanguíneo do </w:t>
      </w:r>
      <w:proofErr w:type="spellStart"/>
      <w:r>
        <w:t>flebotomíneo</w:t>
      </w:r>
      <w:proofErr w:type="spellEnd"/>
      <w:r>
        <w:t xml:space="preserve"> fêmea. Na pele humana, o parasito é fagocitado principalmente por macrófagos e induz uma resposta inflamatória crônica no hospedeiro. A forma clínica mais comum da doença, no Brasil, é </w:t>
      </w:r>
      <w:r>
        <w:t xml:space="preserve">a leishmaniose cutânea (LC), caracterizada pela presença de uma única lesão ulcerada, indolor e de bordas elevadas. Na Bahia, o distrito de Corte de Pedra, parte do município de Presidente Tancredo Neves, é uma região endêmica de </w:t>
      </w:r>
      <w:proofErr w:type="spellStart"/>
      <w:r>
        <w:rPr>
          <w:i/>
        </w:rPr>
        <w:t>Leishmania</w:t>
      </w:r>
      <w:proofErr w:type="spellEnd"/>
      <w:r>
        <w:rPr>
          <w:i/>
        </w:rPr>
        <w:t xml:space="preserve"> </w:t>
      </w:r>
      <w:proofErr w:type="spellStart"/>
      <w:r>
        <w:rPr>
          <w:i/>
        </w:rPr>
        <w:t>braziliensis</w:t>
      </w:r>
      <w:proofErr w:type="spellEnd"/>
      <w:r>
        <w:t>,</w:t>
      </w:r>
      <w:r>
        <w:rPr>
          <w:b/>
        </w:rPr>
        <w:t xml:space="preserve"> </w:t>
      </w:r>
      <w:r>
        <w:t>u</w:t>
      </w:r>
      <w:r>
        <w:t>ma das espécies</w:t>
      </w:r>
      <w:r>
        <w:rPr>
          <w:b/>
        </w:rPr>
        <w:t xml:space="preserve"> </w:t>
      </w:r>
      <w:r>
        <w:t xml:space="preserve">mais comuns do parasito no país. A </w:t>
      </w:r>
      <w:proofErr w:type="spellStart"/>
      <w:r>
        <w:t>intradermorreação</w:t>
      </w:r>
      <w:proofErr w:type="spellEnd"/>
      <w:r>
        <w:t xml:space="preserve"> de Montenegro (IDRM) é um teste de hipersensibilidade tardia que avalia a responsividade dum indivíduo ao antígeno da </w:t>
      </w:r>
      <w:proofErr w:type="spellStart"/>
      <w:r>
        <w:t>leishmânia</w:t>
      </w:r>
      <w:proofErr w:type="spellEnd"/>
      <w:r>
        <w:t xml:space="preserve">, o que pode indicar tanto doença em curso quanto história </w:t>
      </w:r>
      <w:r>
        <w:t xml:space="preserve">prévia de leishmaniose. </w:t>
      </w:r>
      <w:r>
        <w:rPr>
          <w:b/>
        </w:rPr>
        <w:t>Objetivos</w:t>
      </w:r>
      <w:r>
        <w:t xml:space="preserve">: Comparar os aspectos histopatológicos entre biópsias de pacientes com LC e IDRM negativa e pacientes com LC e IDRM positiva. </w:t>
      </w:r>
      <w:r>
        <w:rPr>
          <w:b/>
        </w:rPr>
        <w:t>Metodologia</w:t>
      </w:r>
      <w:r>
        <w:t>: Foram selecionadas 42 biópsias de pele de pacientes com LC confirmada pela reação d</w:t>
      </w:r>
      <w:r>
        <w:t xml:space="preserve">a polimerase em cadeia (PCR) e imuno-histoquímica (IHQ), sendo 26 delas de pacientes com IDRM- e 16 de pacientes com IDRM+. Os fragmentos de pele foram obtidos por biópsia por </w:t>
      </w:r>
      <w:proofErr w:type="spellStart"/>
      <w:r>
        <w:rPr>
          <w:i/>
        </w:rPr>
        <w:t>Punch</w:t>
      </w:r>
      <w:proofErr w:type="spellEnd"/>
      <w:r>
        <w:t xml:space="preserve"> 4mm entre os anos de 2014 e 2021. Todos os pacientes são residentes de Cor</w:t>
      </w:r>
      <w:r>
        <w:t xml:space="preserve">te de Pedra (BA), não são obesos nem portadores de VIH. </w:t>
      </w:r>
      <w:r>
        <w:rPr>
          <w:b/>
        </w:rPr>
        <w:t>Resultados</w:t>
      </w:r>
      <w:r>
        <w:t>: Embora os grupos não apresentem diferenças quanto às extensões de inflamação e necrose tissular, indivíduos com IDRM- apresentaram um número maior de amastigotas e plasmócitos em suas bióp</w:t>
      </w:r>
      <w:r>
        <w:t>sias, bem como uma quantidade inferior de granulomas. Outros marcadores de IHQ, como células CD8</w:t>
      </w:r>
      <w:r>
        <w:rPr>
          <w:vertAlign w:val="superscript"/>
        </w:rPr>
        <w:t>+</w:t>
      </w:r>
      <w:r>
        <w:t>, CD20</w:t>
      </w:r>
      <w:r>
        <w:rPr>
          <w:vertAlign w:val="superscript"/>
        </w:rPr>
        <w:t>+</w:t>
      </w:r>
      <w:r>
        <w:t>, CD57</w:t>
      </w:r>
      <w:r>
        <w:rPr>
          <w:vertAlign w:val="superscript"/>
        </w:rPr>
        <w:t>+</w:t>
      </w:r>
      <w:r>
        <w:t xml:space="preserve"> e CD68</w:t>
      </w:r>
      <w:r>
        <w:rPr>
          <w:vertAlign w:val="superscript"/>
        </w:rPr>
        <w:t>+</w:t>
      </w:r>
      <w:r>
        <w:t xml:space="preserve">, foram observados em quantidades semelhantes em ambos os grupos </w:t>
      </w:r>
      <w:r>
        <w:rPr>
          <w:b/>
        </w:rPr>
        <w:t>Conclusão</w:t>
      </w:r>
      <w:r>
        <w:t>: A diferença de padrões de resposta inflamatória entre os dois</w:t>
      </w:r>
      <w:r>
        <w:t xml:space="preserve"> grupos parece influenciar na </w:t>
      </w:r>
      <w:proofErr w:type="spellStart"/>
      <w:r>
        <w:t>histopatologia</w:t>
      </w:r>
      <w:proofErr w:type="spellEnd"/>
      <w:r>
        <w:t xml:space="preserve"> das úlceras </w:t>
      </w:r>
      <w:proofErr w:type="spellStart"/>
      <w:r>
        <w:t>leishmanióticas</w:t>
      </w:r>
      <w:proofErr w:type="spellEnd"/>
      <w:r>
        <w:t xml:space="preserve">. </w:t>
      </w:r>
    </w:p>
    <w:p w:rsidR="00BE1A68" w:rsidRPr="002804FE" w:rsidRDefault="00454288">
      <w:pPr>
        <w:spacing w:line="238" w:lineRule="auto"/>
        <w:ind w:left="-5"/>
        <w:rPr>
          <w:lang w:val="en-US"/>
        </w:rPr>
      </w:pPr>
      <w:r>
        <w:rPr>
          <w:b/>
        </w:rPr>
        <w:t>Palavras-chave</w:t>
      </w:r>
      <w:r>
        <w:t xml:space="preserve">: Leishmaniose cutânea. </w:t>
      </w:r>
      <w:proofErr w:type="spellStart"/>
      <w:r>
        <w:rPr>
          <w:i/>
        </w:rPr>
        <w:t>Leishmania</w:t>
      </w:r>
      <w:proofErr w:type="spellEnd"/>
      <w:r>
        <w:rPr>
          <w:i/>
        </w:rPr>
        <w:t xml:space="preserve"> </w:t>
      </w:r>
      <w:proofErr w:type="spellStart"/>
      <w:r>
        <w:rPr>
          <w:i/>
        </w:rPr>
        <w:t>braziliensis</w:t>
      </w:r>
      <w:proofErr w:type="spellEnd"/>
      <w:r>
        <w:t xml:space="preserve">. </w:t>
      </w:r>
      <w:bookmarkStart w:id="0" w:name="_GoBack"/>
      <w:proofErr w:type="spellStart"/>
      <w:r w:rsidRPr="002804FE">
        <w:rPr>
          <w:lang w:val="en-US"/>
        </w:rPr>
        <w:t>Intradermorreação</w:t>
      </w:r>
      <w:proofErr w:type="spellEnd"/>
      <w:r w:rsidRPr="002804FE">
        <w:rPr>
          <w:lang w:val="en-US"/>
        </w:rPr>
        <w:t xml:space="preserve"> de Montenegro.  </w:t>
      </w:r>
    </w:p>
    <w:bookmarkEnd w:id="0"/>
    <w:p w:rsidR="00BE1A68" w:rsidRPr="002804FE" w:rsidRDefault="00454288">
      <w:pPr>
        <w:spacing w:after="274" w:line="259" w:lineRule="auto"/>
        <w:ind w:left="0" w:firstLine="0"/>
        <w:jc w:val="left"/>
        <w:rPr>
          <w:lang w:val="en-US"/>
        </w:rPr>
      </w:pPr>
      <w:r w:rsidRPr="002804FE">
        <w:rPr>
          <w:b/>
          <w:lang w:val="en-US"/>
        </w:rPr>
        <w:t xml:space="preserve"> </w:t>
      </w:r>
    </w:p>
    <w:p w:rsidR="00BE1A68" w:rsidRPr="002804FE" w:rsidRDefault="00454288">
      <w:pPr>
        <w:spacing w:after="0" w:line="259" w:lineRule="auto"/>
        <w:ind w:left="0" w:firstLine="0"/>
        <w:jc w:val="left"/>
        <w:rPr>
          <w:lang w:val="en-US"/>
        </w:rPr>
      </w:pPr>
      <w:r w:rsidRPr="002804FE">
        <w:rPr>
          <w:b/>
          <w:lang w:val="en-US"/>
        </w:rPr>
        <w:t xml:space="preserve"> </w:t>
      </w:r>
      <w:r w:rsidRPr="002804FE">
        <w:rPr>
          <w:b/>
          <w:lang w:val="en-US"/>
        </w:rPr>
        <w:tab/>
        <w:t xml:space="preserve"> </w:t>
      </w:r>
    </w:p>
    <w:p w:rsidR="00BE1A68" w:rsidRPr="002804FE" w:rsidRDefault="00454288">
      <w:pPr>
        <w:pStyle w:val="Ttulo6"/>
        <w:spacing w:after="134"/>
        <w:ind w:right="62"/>
        <w:rPr>
          <w:lang w:val="en-US"/>
        </w:rPr>
      </w:pPr>
      <w:r w:rsidRPr="002804FE">
        <w:rPr>
          <w:lang w:val="en-US"/>
        </w:rPr>
        <w:t xml:space="preserve">ABSTRACT </w:t>
      </w:r>
    </w:p>
    <w:p w:rsidR="00BE1A68" w:rsidRPr="002804FE" w:rsidRDefault="00454288">
      <w:pPr>
        <w:spacing w:after="136" w:line="259" w:lineRule="auto"/>
        <w:ind w:left="0" w:right="2" w:firstLine="0"/>
        <w:jc w:val="center"/>
        <w:rPr>
          <w:lang w:val="en-US"/>
        </w:rPr>
      </w:pPr>
      <w:r w:rsidRPr="002804FE">
        <w:rPr>
          <w:b/>
          <w:lang w:val="en-US"/>
        </w:rPr>
        <w:t xml:space="preserve"> </w:t>
      </w:r>
    </w:p>
    <w:p w:rsidR="00BE1A68" w:rsidRPr="002804FE" w:rsidRDefault="00454288">
      <w:pPr>
        <w:spacing w:line="239" w:lineRule="auto"/>
        <w:ind w:left="-5" w:right="58"/>
        <w:rPr>
          <w:lang w:val="en-US"/>
        </w:rPr>
      </w:pPr>
      <w:r w:rsidRPr="002804FE">
        <w:rPr>
          <w:b/>
          <w:lang w:val="en-US"/>
        </w:rPr>
        <w:t>Introduction</w:t>
      </w:r>
      <w:r w:rsidRPr="002804FE">
        <w:rPr>
          <w:lang w:val="en-US"/>
        </w:rPr>
        <w:t xml:space="preserve">: The term "leishmaniasis" refers to a group of neglected tropical diseases caused by a protozoan of the </w:t>
      </w:r>
      <w:r w:rsidRPr="002804FE">
        <w:rPr>
          <w:i/>
          <w:lang w:val="en-US"/>
        </w:rPr>
        <w:t>Leishmania</w:t>
      </w:r>
      <w:r w:rsidRPr="002804FE">
        <w:rPr>
          <w:lang w:val="en-US"/>
        </w:rPr>
        <w:t xml:space="preserve"> genus. It is transmitted to humans during female sandflies’ blood feeding. On human skin, the parasite is phagocytized mainly by macrophages</w:t>
      </w:r>
      <w:r w:rsidRPr="002804FE">
        <w:rPr>
          <w:lang w:val="en-US"/>
        </w:rPr>
        <w:t xml:space="preserve"> and induces a chronic inflammatory response in the host. The most common clinical form of the disease, in Brazil, is cutaneous leishmaniasis (CL), characterized by the presence of a single ulcerated, painless lesion with raised borders. In Bahia, Corte de</w:t>
      </w:r>
      <w:r w:rsidRPr="002804FE">
        <w:rPr>
          <w:lang w:val="en-US"/>
        </w:rPr>
        <w:t xml:space="preserve"> </w:t>
      </w:r>
      <w:proofErr w:type="spellStart"/>
      <w:r w:rsidRPr="002804FE">
        <w:rPr>
          <w:lang w:val="en-US"/>
        </w:rPr>
        <w:t>Pedra</w:t>
      </w:r>
      <w:proofErr w:type="spellEnd"/>
      <w:r w:rsidRPr="002804FE">
        <w:rPr>
          <w:lang w:val="en-US"/>
        </w:rPr>
        <w:t xml:space="preserve">, a district of </w:t>
      </w:r>
      <w:proofErr w:type="spellStart"/>
      <w:r w:rsidRPr="002804FE">
        <w:rPr>
          <w:lang w:val="en-US"/>
        </w:rPr>
        <w:t>Presidente</w:t>
      </w:r>
      <w:proofErr w:type="spellEnd"/>
      <w:r w:rsidRPr="002804FE">
        <w:rPr>
          <w:lang w:val="en-US"/>
        </w:rPr>
        <w:t xml:space="preserve"> Tancredo Neves, is an endemic region for </w:t>
      </w:r>
      <w:r w:rsidRPr="002804FE">
        <w:rPr>
          <w:i/>
          <w:lang w:val="en-US"/>
        </w:rPr>
        <w:t xml:space="preserve">Leishmania </w:t>
      </w:r>
      <w:proofErr w:type="spellStart"/>
      <w:r w:rsidRPr="002804FE">
        <w:rPr>
          <w:i/>
          <w:lang w:val="en-US"/>
        </w:rPr>
        <w:t>braziliensis</w:t>
      </w:r>
      <w:proofErr w:type="spellEnd"/>
      <w:r w:rsidRPr="002804FE">
        <w:rPr>
          <w:lang w:val="en-US"/>
        </w:rPr>
        <w:t xml:space="preserve">, one of the most common species of the parasite in the country. The </w:t>
      </w:r>
      <w:proofErr w:type="spellStart"/>
      <w:r w:rsidRPr="002804FE">
        <w:rPr>
          <w:lang w:val="en-US"/>
        </w:rPr>
        <w:t>leishmanin</w:t>
      </w:r>
      <w:proofErr w:type="spellEnd"/>
      <w:r w:rsidRPr="002804FE">
        <w:rPr>
          <w:lang w:val="en-US"/>
        </w:rPr>
        <w:t xml:space="preserve"> skin test (LST) is a delayed type hypersensitivity test that assesses an indivi</w:t>
      </w:r>
      <w:r w:rsidRPr="002804FE">
        <w:rPr>
          <w:lang w:val="en-US"/>
        </w:rPr>
        <w:t xml:space="preserve">dual's responsiveness to the leishmania antigen, which can indicate both ongoing disease and a previous history of leishmaniasis. </w:t>
      </w:r>
      <w:r w:rsidRPr="002804FE">
        <w:rPr>
          <w:b/>
          <w:lang w:val="en-US"/>
        </w:rPr>
        <w:t>Objectives</w:t>
      </w:r>
      <w:r w:rsidRPr="002804FE">
        <w:rPr>
          <w:lang w:val="en-US"/>
        </w:rPr>
        <w:t xml:space="preserve">: To compare the </w:t>
      </w:r>
      <w:r w:rsidRPr="002804FE">
        <w:rPr>
          <w:lang w:val="en-US"/>
        </w:rPr>
        <w:lastRenderedPageBreak/>
        <w:t>histopathological aspects between biopsies from patients with CL and negative LST and patients with</w:t>
      </w:r>
      <w:r w:rsidRPr="002804FE">
        <w:rPr>
          <w:lang w:val="en-US"/>
        </w:rPr>
        <w:t xml:space="preserve"> CL and positive LST. </w:t>
      </w:r>
      <w:r w:rsidRPr="002804FE">
        <w:rPr>
          <w:b/>
          <w:lang w:val="en-US"/>
        </w:rPr>
        <w:t>Methodology</w:t>
      </w:r>
      <w:r w:rsidRPr="002804FE">
        <w:rPr>
          <w:lang w:val="en-US"/>
        </w:rPr>
        <w:t>: 42 skin biopsies were selected from patients with CL confirmed by polymerase chain reaction (PCR) and immunohistochemistry (IHC), 26 of them from LST- patients and 16 from LST+ patients. The skin fragments were obtained b</w:t>
      </w:r>
      <w:r w:rsidRPr="002804FE">
        <w:rPr>
          <w:lang w:val="en-US"/>
        </w:rPr>
        <w:t xml:space="preserve">y 4mm punch biopsy between 2014 and 2021. All the patients were residents of Corte de </w:t>
      </w:r>
      <w:proofErr w:type="spellStart"/>
      <w:r w:rsidRPr="002804FE">
        <w:rPr>
          <w:lang w:val="en-US"/>
        </w:rPr>
        <w:t>Pedra</w:t>
      </w:r>
      <w:proofErr w:type="spellEnd"/>
      <w:r w:rsidRPr="002804FE">
        <w:rPr>
          <w:lang w:val="en-US"/>
        </w:rPr>
        <w:t xml:space="preserve"> (BA) and were neither obese nor HIV-positive. </w:t>
      </w:r>
      <w:r w:rsidRPr="002804FE">
        <w:rPr>
          <w:b/>
          <w:lang w:val="en-US"/>
        </w:rPr>
        <w:t>Results</w:t>
      </w:r>
      <w:r w:rsidRPr="002804FE">
        <w:rPr>
          <w:lang w:val="en-US"/>
        </w:rPr>
        <w:t xml:space="preserve">: Although the groups did not differ in terms of the extent of inflammation and </w:t>
      </w:r>
      <w:proofErr w:type="spellStart"/>
      <w:r w:rsidRPr="002804FE">
        <w:rPr>
          <w:lang w:val="en-US"/>
        </w:rPr>
        <w:t>tissular</w:t>
      </w:r>
      <w:proofErr w:type="spellEnd"/>
      <w:r w:rsidRPr="002804FE">
        <w:rPr>
          <w:lang w:val="en-US"/>
        </w:rPr>
        <w:t xml:space="preserve"> necrosis, LST- individ</w:t>
      </w:r>
      <w:r w:rsidRPr="002804FE">
        <w:rPr>
          <w:lang w:val="en-US"/>
        </w:rPr>
        <w:t>uals had a higher number of amastigotes and plasma cells in their biopsies, as well as a lower number of granulomas. Other IHC markers, such as CD8</w:t>
      </w:r>
      <w:r w:rsidRPr="002804FE">
        <w:rPr>
          <w:vertAlign w:val="superscript"/>
          <w:lang w:val="en-US"/>
        </w:rPr>
        <w:t>+</w:t>
      </w:r>
      <w:r w:rsidRPr="002804FE">
        <w:rPr>
          <w:lang w:val="en-US"/>
        </w:rPr>
        <w:t>, CD20</w:t>
      </w:r>
      <w:r w:rsidRPr="002804FE">
        <w:rPr>
          <w:vertAlign w:val="superscript"/>
          <w:lang w:val="en-US"/>
        </w:rPr>
        <w:t>+</w:t>
      </w:r>
      <w:r w:rsidRPr="002804FE">
        <w:rPr>
          <w:lang w:val="en-US"/>
        </w:rPr>
        <w:t>, CD57</w:t>
      </w:r>
      <w:r w:rsidRPr="002804FE">
        <w:rPr>
          <w:vertAlign w:val="superscript"/>
          <w:lang w:val="en-US"/>
        </w:rPr>
        <w:t>+</w:t>
      </w:r>
      <w:r w:rsidRPr="002804FE">
        <w:rPr>
          <w:lang w:val="en-US"/>
        </w:rPr>
        <w:t xml:space="preserve"> and CD68</w:t>
      </w:r>
      <w:r w:rsidRPr="002804FE">
        <w:rPr>
          <w:vertAlign w:val="superscript"/>
          <w:lang w:val="en-US"/>
        </w:rPr>
        <w:t>+</w:t>
      </w:r>
      <w:r w:rsidRPr="002804FE">
        <w:rPr>
          <w:lang w:val="en-US"/>
        </w:rPr>
        <w:t xml:space="preserve"> cells, were observed in similar quantities in both groups </w:t>
      </w:r>
      <w:r w:rsidRPr="002804FE">
        <w:rPr>
          <w:b/>
          <w:lang w:val="en-US"/>
        </w:rPr>
        <w:t>Conclusion</w:t>
      </w:r>
      <w:r w:rsidRPr="002804FE">
        <w:rPr>
          <w:lang w:val="en-US"/>
        </w:rPr>
        <w:t>: The differenc</w:t>
      </w:r>
      <w:r w:rsidRPr="002804FE">
        <w:rPr>
          <w:lang w:val="en-US"/>
        </w:rPr>
        <w:t xml:space="preserve">e in inflammatory response patterns between the two groups seems to influence the histopathology of leishmaniasis ulcers. </w:t>
      </w:r>
    </w:p>
    <w:p w:rsidR="00BE1A68" w:rsidRDefault="00454288">
      <w:pPr>
        <w:spacing w:line="259" w:lineRule="auto"/>
        <w:ind w:left="-5" w:right="339"/>
      </w:pPr>
      <w:r w:rsidRPr="002804FE">
        <w:rPr>
          <w:b/>
          <w:lang w:val="en-US"/>
        </w:rPr>
        <w:t>Keywords</w:t>
      </w:r>
      <w:r w:rsidRPr="002804FE">
        <w:rPr>
          <w:lang w:val="en-US"/>
        </w:rPr>
        <w:t xml:space="preserve">: Cutaneous leishmaniasis. </w:t>
      </w:r>
      <w:r w:rsidRPr="002804FE">
        <w:rPr>
          <w:i/>
          <w:lang w:val="en-US"/>
        </w:rPr>
        <w:t xml:space="preserve">Leishmania </w:t>
      </w:r>
      <w:proofErr w:type="spellStart"/>
      <w:r w:rsidRPr="002804FE">
        <w:rPr>
          <w:i/>
          <w:lang w:val="en-US"/>
        </w:rPr>
        <w:t>braziliensis</w:t>
      </w:r>
      <w:proofErr w:type="spellEnd"/>
      <w:r w:rsidRPr="002804FE">
        <w:rPr>
          <w:lang w:val="en-US"/>
        </w:rPr>
        <w:t xml:space="preserve">. </w:t>
      </w:r>
      <w:proofErr w:type="spellStart"/>
      <w:r>
        <w:t>Leishmanin</w:t>
      </w:r>
      <w:proofErr w:type="spellEnd"/>
      <w:r>
        <w:t xml:space="preserve"> </w:t>
      </w:r>
      <w:proofErr w:type="spellStart"/>
      <w:r>
        <w:t>skin</w:t>
      </w:r>
      <w:proofErr w:type="spellEnd"/>
      <w:r>
        <w:t xml:space="preserve"> test. </w:t>
      </w:r>
    </w:p>
    <w:p w:rsidR="00BE1A68" w:rsidRDefault="00454288">
      <w:pPr>
        <w:spacing w:after="134" w:line="259" w:lineRule="auto"/>
        <w:ind w:left="10" w:right="62"/>
        <w:jc w:val="center"/>
      </w:pPr>
      <w:r>
        <w:rPr>
          <w:b/>
        </w:rPr>
        <w:t xml:space="preserve">SUMÁRIO </w:t>
      </w:r>
    </w:p>
    <w:p w:rsidR="00BE1A68" w:rsidRDefault="00454288">
      <w:pPr>
        <w:spacing w:after="136" w:line="259" w:lineRule="auto"/>
        <w:ind w:left="0" w:right="2" w:firstLine="0"/>
        <w:jc w:val="center"/>
      </w:pPr>
      <w:r>
        <w:rPr>
          <w:b/>
        </w:rPr>
        <w:t xml:space="preserve"> </w:t>
      </w:r>
    </w:p>
    <w:sdt>
      <w:sdtPr>
        <w:rPr>
          <w:b w:val="0"/>
        </w:rPr>
        <w:id w:val="1893763861"/>
        <w:docPartObj>
          <w:docPartGallery w:val="Table of Contents"/>
        </w:docPartObj>
      </w:sdtPr>
      <w:sdtEndPr/>
      <w:sdtContent>
        <w:p w:rsidR="00BE1A68" w:rsidRDefault="00454288">
          <w:pPr>
            <w:pStyle w:val="Sumrio1"/>
            <w:tabs>
              <w:tab w:val="right" w:leader="dot" w:pos="8565"/>
            </w:tabs>
          </w:pPr>
          <w:r>
            <w:fldChar w:fldCharType="begin"/>
          </w:r>
          <w:r>
            <w:instrText xml:space="preserve"> TOC \o "1-5" \h \z \u </w:instrText>
          </w:r>
          <w:r>
            <w:fldChar w:fldCharType="separate"/>
          </w:r>
          <w:hyperlink w:anchor="_Toc32345">
            <w:r>
              <w:t>1 INTRODUÇÃO</w:t>
            </w:r>
            <w:r>
              <w:tab/>
            </w:r>
            <w:r>
              <w:fldChar w:fldCharType="begin"/>
            </w:r>
            <w:r>
              <w:instrText>PAGEREF _Toc32345 \h</w:instrText>
            </w:r>
            <w:r>
              <w:fldChar w:fldCharType="separate"/>
            </w:r>
            <w:r>
              <w:t xml:space="preserve">8 </w:t>
            </w:r>
            <w:r>
              <w:fldChar w:fldCharType="end"/>
            </w:r>
          </w:hyperlink>
        </w:p>
        <w:p w:rsidR="00BE1A68" w:rsidRDefault="00454288">
          <w:pPr>
            <w:pStyle w:val="Sumrio1"/>
            <w:tabs>
              <w:tab w:val="right" w:leader="dot" w:pos="8565"/>
            </w:tabs>
          </w:pPr>
          <w:hyperlink w:anchor="_Toc32346">
            <w:r>
              <w:t>2 OBJETIVOS</w:t>
            </w:r>
            <w:r>
              <w:tab/>
            </w:r>
            <w:r>
              <w:fldChar w:fldCharType="begin"/>
            </w:r>
            <w:r>
              <w:instrText>PAGEREF _Toc32346 \h</w:instrText>
            </w:r>
            <w:r>
              <w:fldChar w:fldCharType="separate"/>
            </w:r>
            <w:r>
              <w:t xml:space="preserve">10 </w:t>
            </w:r>
            <w:r>
              <w:fldChar w:fldCharType="end"/>
            </w:r>
          </w:hyperlink>
        </w:p>
        <w:p w:rsidR="00BE1A68" w:rsidRDefault="00454288">
          <w:pPr>
            <w:pStyle w:val="Sumrio2"/>
            <w:tabs>
              <w:tab w:val="right" w:leader="dot" w:pos="8565"/>
            </w:tabs>
          </w:pPr>
          <w:hyperlink w:anchor="_Toc32347">
            <w:r>
              <w:t>2.1  GERAL</w:t>
            </w:r>
            <w:r>
              <w:tab/>
            </w:r>
            <w:r>
              <w:fldChar w:fldCharType="begin"/>
            </w:r>
            <w:r>
              <w:instrText>PAGEREF _Toc32347 \h</w:instrText>
            </w:r>
            <w:r>
              <w:fldChar w:fldCharType="separate"/>
            </w:r>
            <w:r>
              <w:t xml:space="preserve">10 </w:t>
            </w:r>
            <w:r>
              <w:fldChar w:fldCharType="end"/>
            </w:r>
          </w:hyperlink>
        </w:p>
        <w:p w:rsidR="00BE1A68" w:rsidRDefault="00454288">
          <w:pPr>
            <w:pStyle w:val="Sumrio2"/>
            <w:tabs>
              <w:tab w:val="right" w:leader="dot" w:pos="8565"/>
            </w:tabs>
          </w:pPr>
          <w:hyperlink w:anchor="_Toc32348">
            <w:r>
              <w:t>2.2 ESPECÍFICOS</w:t>
            </w:r>
            <w:r>
              <w:tab/>
            </w:r>
            <w:r>
              <w:fldChar w:fldCharType="begin"/>
            </w:r>
            <w:r>
              <w:instrText>PAGEREF _Toc32348 \h</w:instrText>
            </w:r>
            <w:r>
              <w:fldChar w:fldCharType="separate"/>
            </w:r>
            <w:r>
              <w:t xml:space="preserve">10 </w:t>
            </w:r>
            <w:r>
              <w:fldChar w:fldCharType="end"/>
            </w:r>
          </w:hyperlink>
        </w:p>
        <w:p w:rsidR="00BE1A68" w:rsidRDefault="00454288">
          <w:pPr>
            <w:pStyle w:val="Sumrio1"/>
            <w:tabs>
              <w:tab w:val="right" w:leader="dot" w:pos="8565"/>
            </w:tabs>
          </w:pPr>
          <w:hyperlink w:anchor="_Toc32349">
            <w:r>
              <w:t>3 REVISÃO DE LITERATURA</w:t>
            </w:r>
            <w:r>
              <w:tab/>
            </w:r>
            <w:r>
              <w:fldChar w:fldCharType="begin"/>
            </w:r>
            <w:r>
              <w:instrText>PAGEREF _Toc32349 \h</w:instrText>
            </w:r>
            <w:r>
              <w:fldChar w:fldCharType="separate"/>
            </w:r>
            <w:r>
              <w:t xml:space="preserve">11 </w:t>
            </w:r>
            <w:r>
              <w:fldChar w:fldCharType="end"/>
            </w:r>
          </w:hyperlink>
        </w:p>
        <w:p w:rsidR="00BE1A68" w:rsidRDefault="00454288">
          <w:pPr>
            <w:pStyle w:val="Sumrio2"/>
            <w:tabs>
              <w:tab w:val="right" w:leader="dot" w:pos="8565"/>
            </w:tabs>
          </w:pPr>
          <w:hyperlink w:anchor="_Toc32350">
            <w:r>
              <w:t>3.1  EPIDEMIOLOGIA</w:t>
            </w:r>
            <w:r>
              <w:tab/>
            </w:r>
            <w:r>
              <w:fldChar w:fldCharType="begin"/>
            </w:r>
            <w:r>
              <w:instrText>PAGEREF _Toc32350 \h</w:instrText>
            </w:r>
            <w:r>
              <w:fldChar w:fldCharType="separate"/>
            </w:r>
            <w:r>
              <w:t xml:space="preserve">11 </w:t>
            </w:r>
            <w:r>
              <w:fldChar w:fldCharType="end"/>
            </w:r>
          </w:hyperlink>
        </w:p>
        <w:p w:rsidR="00BE1A68" w:rsidRDefault="00454288">
          <w:pPr>
            <w:pStyle w:val="Sumrio2"/>
            <w:tabs>
              <w:tab w:val="right" w:leader="dot" w:pos="8565"/>
            </w:tabs>
          </w:pPr>
          <w:hyperlink w:anchor="_Toc32351">
            <w:r>
              <w:t>3.2  CICLO</w:t>
            </w:r>
            <w:r>
              <w:rPr>
                <w:sz w:val="19"/>
              </w:rPr>
              <w:t xml:space="preserve"> </w:t>
            </w:r>
            <w:r>
              <w:t>DE</w:t>
            </w:r>
            <w:r>
              <w:rPr>
                <w:sz w:val="19"/>
              </w:rPr>
              <w:t xml:space="preserve"> </w:t>
            </w:r>
            <w:r>
              <w:t>VIDA</w:t>
            </w:r>
            <w:r>
              <w:rPr>
                <w:sz w:val="19"/>
              </w:rPr>
              <w:t xml:space="preserve"> </w:t>
            </w:r>
            <w:r>
              <w:t>E</w:t>
            </w:r>
            <w:r>
              <w:rPr>
                <w:sz w:val="19"/>
              </w:rPr>
              <w:t xml:space="preserve"> </w:t>
            </w:r>
            <w:r>
              <w:t>TRANSMISSÃO</w:t>
            </w:r>
            <w:r>
              <w:tab/>
            </w:r>
            <w:r>
              <w:fldChar w:fldCharType="begin"/>
            </w:r>
            <w:r>
              <w:instrText>PAGEREF _Toc32351 \h</w:instrText>
            </w:r>
            <w:r>
              <w:fldChar w:fldCharType="separate"/>
            </w:r>
            <w:r>
              <w:t xml:space="preserve">11 </w:t>
            </w:r>
            <w:r>
              <w:fldChar w:fldCharType="end"/>
            </w:r>
          </w:hyperlink>
        </w:p>
        <w:p w:rsidR="00BE1A68" w:rsidRDefault="00454288">
          <w:pPr>
            <w:pStyle w:val="Sumrio2"/>
            <w:tabs>
              <w:tab w:val="right" w:leader="dot" w:pos="8565"/>
            </w:tabs>
          </w:pPr>
          <w:hyperlink w:anchor="_Toc32352">
            <w:r>
              <w:t>3.3  MANIFESTAÇÕES</w:t>
            </w:r>
            <w:r>
              <w:rPr>
                <w:sz w:val="19"/>
              </w:rPr>
              <w:t xml:space="preserve"> </w:t>
            </w:r>
            <w:r>
              <w:t>CLÍNICAS</w:t>
            </w:r>
            <w:r>
              <w:rPr>
                <w:sz w:val="19"/>
              </w:rPr>
              <w:t xml:space="preserve"> </w:t>
            </w:r>
            <w:r>
              <w:t>E</w:t>
            </w:r>
            <w:r>
              <w:rPr>
                <w:sz w:val="19"/>
              </w:rPr>
              <w:t xml:space="preserve"> </w:t>
            </w:r>
            <w:r>
              <w:t>MÉTODOS</w:t>
            </w:r>
            <w:r>
              <w:rPr>
                <w:sz w:val="19"/>
              </w:rPr>
              <w:t xml:space="preserve"> </w:t>
            </w:r>
            <w:r>
              <w:t>DIAGNÓSTICOS</w:t>
            </w:r>
            <w:r>
              <w:tab/>
            </w:r>
            <w:r>
              <w:fldChar w:fldCharType="begin"/>
            </w:r>
            <w:r>
              <w:instrText>PAGEREF _Toc32352 \h</w:instrText>
            </w:r>
            <w:r>
              <w:fldChar w:fldCharType="separate"/>
            </w:r>
            <w:r>
              <w:t xml:space="preserve">12 </w:t>
            </w:r>
            <w:r>
              <w:fldChar w:fldCharType="end"/>
            </w:r>
          </w:hyperlink>
        </w:p>
        <w:p w:rsidR="00BE1A68" w:rsidRDefault="00454288">
          <w:pPr>
            <w:pStyle w:val="Sumrio2"/>
            <w:tabs>
              <w:tab w:val="right" w:leader="dot" w:pos="8565"/>
            </w:tabs>
          </w:pPr>
          <w:hyperlink w:anchor="_Toc32353">
            <w:r>
              <w:t>3.4  INTRADERMORREAÇÃO</w:t>
            </w:r>
            <w:r>
              <w:rPr>
                <w:sz w:val="19"/>
              </w:rPr>
              <w:t xml:space="preserve"> </w:t>
            </w:r>
            <w:r>
              <w:t>DE</w:t>
            </w:r>
            <w:r>
              <w:rPr>
                <w:sz w:val="19"/>
              </w:rPr>
              <w:t xml:space="preserve"> </w:t>
            </w:r>
            <w:r>
              <w:t>MONTENEGRO</w:t>
            </w:r>
            <w:r>
              <w:tab/>
            </w:r>
            <w:r>
              <w:fldChar w:fldCharType="begin"/>
            </w:r>
            <w:r>
              <w:instrText>PAGEREF _Toc32353 \h</w:instrText>
            </w:r>
            <w:r>
              <w:fldChar w:fldCharType="separate"/>
            </w:r>
            <w:r>
              <w:t xml:space="preserve">13 </w:t>
            </w:r>
            <w:r>
              <w:fldChar w:fldCharType="end"/>
            </w:r>
          </w:hyperlink>
        </w:p>
        <w:p w:rsidR="00BE1A68" w:rsidRDefault="00454288">
          <w:pPr>
            <w:pStyle w:val="Sumrio2"/>
            <w:tabs>
              <w:tab w:val="right" w:leader="dot" w:pos="8565"/>
            </w:tabs>
          </w:pPr>
          <w:hyperlink w:anchor="_Toc32354">
            <w:r>
              <w:t>3.5 HISTOPATOLOGIA</w:t>
            </w:r>
            <w:r>
              <w:tab/>
            </w:r>
            <w:r>
              <w:fldChar w:fldCharType="begin"/>
            </w:r>
            <w:r>
              <w:instrText>PAGEREF _Toc32354 \h</w:instrText>
            </w:r>
            <w:r>
              <w:fldChar w:fldCharType="separate"/>
            </w:r>
            <w:r>
              <w:t xml:space="preserve">14 </w:t>
            </w:r>
            <w:r>
              <w:fldChar w:fldCharType="end"/>
            </w:r>
          </w:hyperlink>
        </w:p>
        <w:p w:rsidR="00BE1A68" w:rsidRDefault="00454288">
          <w:pPr>
            <w:pStyle w:val="Sumrio1"/>
            <w:tabs>
              <w:tab w:val="right" w:leader="dot" w:pos="8565"/>
            </w:tabs>
          </w:pPr>
          <w:hyperlink w:anchor="_Toc32355">
            <w:r>
              <w:t>4 METODOLOGIA</w:t>
            </w:r>
            <w:r>
              <w:tab/>
            </w:r>
            <w:r>
              <w:fldChar w:fldCharType="begin"/>
            </w:r>
            <w:r>
              <w:instrText>PAGEREF _Toc32355 \h</w:instrText>
            </w:r>
            <w:r>
              <w:fldChar w:fldCharType="separate"/>
            </w:r>
            <w:r>
              <w:t xml:space="preserve">15 </w:t>
            </w:r>
            <w:r>
              <w:fldChar w:fldCharType="end"/>
            </w:r>
          </w:hyperlink>
        </w:p>
        <w:p w:rsidR="00BE1A68" w:rsidRDefault="00454288">
          <w:pPr>
            <w:pStyle w:val="Sumrio2"/>
            <w:tabs>
              <w:tab w:val="right" w:leader="dot" w:pos="8565"/>
            </w:tabs>
          </w:pPr>
          <w:hyperlink w:anchor="_Toc32356">
            <w:r>
              <w:t>4.1  DESENHO</w:t>
            </w:r>
            <w:r>
              <w:rPr>
                <w:sz w:val="19"/>
              </w:rPr>
              <w:t xml:space="preserve"> </w:t>
            </w:r>
            <w:r>
              <w:t>DE</w:t>
            </w:r>
            <w:r>
              <w:rPr>
                <w:sz w:val="19"/>
              </w:rPr>
              <w:t xml:space="preserve"> </w:t>
            </w:r>
            <w:r>
              <w:t>ESTUDO</w:t>
            </w:r>
            <w:r>
              <w:tab/>
            </w:r>
            <w:r>
              <w:fldChar w:fldCharType="begin"/>
            </w:r>
            <w:r>
              <w:instrText>PAGEREF _Toc32356 \h</w:instrText>
            </w:r>
            <w:r>
              <w:fldChar w:fldCharType="separate"/>
            </w:r>
            <w:r>
              <w:t xml:space="preserve">15 </w:t>
            </w:r>
            <w:r>
              <w:fldChar w:fldCharType="end"/>
            </w:r>
          </w:hyperlink>
        </w:p>
        <w:p w:rsidR="00BE1A68" w:rsidRDefault="00454288">
          <w:pPr>
            <w:pStyle w:val="Sumrio2"/>
            <w:tabs>
              <w:tab w:val="right" w:leader="dot" w:pos="8565"/>
            </w:tabs>
          </w:pPr>
          <w:hyperlink w:anchor="_Toc32357">
            <w:r>
              <w:t>4.2  LOCAL</w:t>
            </w:r>
            <w:r>
              <w:rPr>
                <w:sz w:val="19"/>
              </w:rPr>
              <w:t xml:space="preserve"> </w:t>
            </w:r>
            <w:r>
              <w:t>E</w:t>
            </w:r>
            <w:r>
              <w:rPr>
                <w:sz w:val="19"/>
              </w:rPr>
              <w:t xml:space="preserve"> </w:t>
            </w:r>
            <w:r>
              <w:t>PERÍODO</w:t>
            </w:r>
            <w:r>
              <w:rPr>
                <w:sz w:val="19"/>
              </w:rPr>
              <w:t xml:space="preserve"> </w:t>
            </w:r>
            <w:r>
              <w:t>DO</w:t>
            </w:r>
            <w:r>
              <w:rPr>
                <w:sz w:val="19"/>
              </w:rPr>
              <w:t xml:space="preserve"> </w:t>
            </w:r>
            <w:r>
              <w:t>ESTUDO</w:t>
            </w:r>
            <w:r>
              <w:tab/>
            </w:r>
            <w:r>
              <w:fldChar w:fldCharType="begin"/>
            </w:r>
            <w:r>
              <w:instrText>PAGEREF _Toc32357 \h</w:instrText>
            </w:r>
            <w:r>
              <w:fldChar w:fldCharType="separate"/>
            </w:r>
            <w:r>
              <w:t xml:space="preserve">15 </w:t>
            </w:r>
            <w:r>
              <w:fldChar w:fldCharType="end"/>
            </w:r>
          </w:hyperlink>
        </w:p>
        <w:p w:rsidR="00BE1A68" w:rsidRDefault="00454288">
          <w:pPr>
            <w:pStyle w:val="Sumrio2"/>
            <w:tabs>
              <w:tab w:val="right" w:leader="dot" w:pos="8565"/>
            </w:tabs>
          </w:pPr>
          <w:hyperlink w:anchor="_Toc32358">
            <w:r>
              <w:t>4.3  POPULAÇÃO</w:t>
            </w:r>
            <w:r>
              <w:rPr>
                <w:sz w:val="19"/>
              </w:rPr>
              <w:t xml:space="preserve"> </w:t>
            </w:r>
            <w:r>
              <w:t>DO</w:t>
            </w:r>
            <w:r>
              <w:rPr>
                <w:sz w:val="19"/>
              </w:rPr>
              <w:t xml:space="preserve"> </w:t>
            </w:r>
            <w:r>
              <w:t>ESTUDO</w:t>
            </w:r>
            <w:r>
              <w:tab/>
            </w:r>
            <w:r>
              <w:fldChar w:fldCharType="begin"/>
            </w:r>
            <w:r>
              <w:instrText>PAGEREF _Toc32358 \h</w:instrText>
            </w:r>
            <w:r>
              <w:fldChar w:fldCharType="separate"/>
            </w:r>
            <w:r>
              <w:t xml:space="preserve">15 </w:t>
            </w:r>
            <w:r>
              <w:fldChar w:fldCharType="end"/>
            </w:r>
          </w:hyperlink>
        </w:p>
        <w:p w:rsidR="00BE1A68" w:rsidRDefault="00454288">
          <w:pPr>
            <w:pStyle w:val="Sumrio3"/>
            <w:tabs>
              <w:tab w:val="right" w:leader="dot" w:pos="8565"/>
            </w:tabs>
          </w:pPr>
          <w:hyperlink w:anchor="_Toc32359">
            <w:r>
              <w:t>4.3.1  População-alvo</w:t>
            </w:r>
            <w:r>
              <w:tab/>
            </w:r>
            <w:r>
              <w:fldChar w:fldCharType="begin"/>
            </w:r>
            <w:r>
              <w:instrText>PAGEREF _Toc32359 \h</w:instrText>
            </w:r>
            <w:r>
              <w:fldChar w:fldCharType="separate"/>
            </w:r>
            <w:r>
              <w:t xml:space="preserve">15 </w:t>
            </w:r>
            <w:r>
              <w:fldChar w:fldCharType="end"/>
            </w:r>
          </w:hyperlink>
        </w:p>
        <w:p w:rsidR="00BE1A68" w:rsidRDefault="00454288">
          <w:pPr>
            <w:pStyle w:val="Sumrio3"/>
            <w:tabs>
              <w:tab w:val="right" w:leader="dot" w:pos="8565"/>
            </w:tabs>
          </w:pPr>
          <w:hyperlink w:anchor="_Toc32360">
            <w:r>
              <w:t>4.3.2  População acessível</w:t>
            </w:r>
            <w:r>
              <w:tab/>
            </w:r>
            <w:r>
              <w:fldChar w:fldCharType="begin"/>
            </w:r>
            <w:r>
              <w:instrText>PAGEREF _Toc32360 \h</w:instrText>
            </w:r>
            <w:r>
              <w:fldChar w:fldCharType="separate"/>
            </w:r>
            <w:r>
              <w:t xml:space="preserve">15 </w:t>
            </w:r>
            <w:r>
              <w:fldChar w:fldCharType="end"/>
            </w:r>
          </w:hyperlink>
        </w:p>
        <w:p w:rsidR="00BE1A68" w:rsidRDefault="00454288">
          <w:pPr>
            <w:pStyle w:val="Sumrio3"/>
            <w:tabs>
              <w:tab w:val="right" w:leader="dot" w:pos="8565"/>
            </w:tabs>
          </w:pPr>
          <w:hyperlink w:anchor="_Toc32361">
            <w:r>
              <w:t>4.3.3  Critérios de elegibilidade</w:t>
            </w:r>
            <w:r>
              <w:tab/>
            </w:r>
            <w:r>
              <w:fldChar w:fldCharType="begin"/>
            </w:r>
            <w:r>
              <w:instrText>PAGEREF _Toc32361 \h</w:instrText>
            </w:r>
            <w:r>
              <w:fldChar w:fldCharType="separate"/>
            </w:r>
            <w:r>
              <w:t xml:space="preserve">15 </w:t>
            </w:r>
            <w:r>
              <w:fldChar w:fldCharType="end"/>
            </w:r>
          </w:hyperlink>
        </w:p>
        <w:p w:rsidR="00BE1A68" w:rsidRDefault="00454288">
          <w:pPr>
            <w:pStyle w:val="Sumrio4"/>
            <w:tabs>
              <w:tab w:val="right" w:leader="dot" w:pos="8565"/>
            </w:tabs>
          </w:pPr>
          <w:hyperlink w:anchor="_Toc32362">
            <w:r>
              <w:t xml:space="preserve">4.3.3.1  </w:t>
            </w:r>
            <w:r>
              <w:rPr>
                <w:u w:val="single" w:color="000000"/>
              </w:rPr>
              <w:t>Critérios de inclusão</w:t>
            </w:r>
            <w:r>
              <w:tab/>
            </w:r>
            <w:r>
              <w:fldChar w:fldCharType="begin"/>
            </w:r>
            <w:r>
              <w:instrText>PAGEREF _Toc32362 \h</w:instrText>
            </w:r>
            <w:r>
              <w:fldChar w:fldCharType="separate"/>
            </w:r>
            <w:r>
              <w:t>15</w:t>
            </w:r>
            <w:r>
              <w:t xml:space="preserve"> </w:t>
            </w:r>
            <w:r>
              <w:fldChar w:fldCharType="end"/>
            </w:r>
          </w:hyperlink>
        </w:p>
        <w:p w:rsidR="00BE1A68" w:rsidRDefault="00454288">
          <w:pPr>
            <w:pStyle w:val="Sumrio4"/>
            <w:tabs>
              <w:tab w:val="right" w:leader="dot" w:pos="8565"/>
            </w:tabs>
          </w:pPr>
          <w:hyperlink w:anchor="_Toc32363">
            <w:r>
              <w:t xml:space="preserve">4.3.3.2  </w:t>
            </w:r>
            <w:r>
              <w:rPr>
                <w:u w:val="single" w:color="000000"/>
              </w:rPr>
              <w:t>Critérios de exclusão</w:t>
            </w:r>
            <w:r>
              <w:tab/>
            </w:r>
            <w:r>
              <w:fldChar w:fldCharType="begin"/>
            </w:r>
            <w:r>
              <w:instrText>PAGEREF _Toc32363 \h</w:instrText>
            </w:r>
            <w:r>
              <w:fldChar w:fldCharType="separate"/>
            </w:r>
            <w:r>
              <w:t xml:space="preserve">15 </w:t>
            </w:r>
            <w:r>
              <w:fldChar w:fldCharType="end"/>
            </w:r>
          </w:hyperlink>
        </w:p>
        <w:p w:rsidR="00BE1A68" w:rsidRDefault="00454288">
          <w:pPr>
            <w:pStyle w:val="Sumrio3"/>
            <w:tabs>
              <w:tab w:val="right" w:leader="dot" w:pos="8565"/>
            </w:tabs>
          </w:pPr>
          <w:hyperlink w:anchor="_Toc32364">
            <w:r>
              <w:t>4.3.4  Tamanho e seleção amostral</w:t>
            </w:r>
            <w:r>
              <w:tab/>
            </w:r>
            <w:r>
              <w:fldChar w:fldCharType="begin"/>
            </w:r>
            <w:r>
              <w:instrText>PAGEREF _Toc32364 \h</w:instrText>
            </w:r>
            <w:r>
              <w:fldChar w:fldCharType="separate"/>
            </w:r>
            <w:r>
              <w:t xml:space="preserve">16 </w:t>
            </w:r>
            <w:r>
              <w:fldChar w:fldCharType="end"/>
            </w:r>
          </w:hyperlink>
        </w:p>
        <w:p w:rsidR="00BE1A68" w:rsidRDefault="00454288">
          <w:pPr>
            <w:pStyle w:val="Sumrio3"/>
            <w:tabs>
              <w:tab w:val="right" w:leader="dot" w:pos="8565"/>
            </w:tabs>
          </w:pPr>
          <w:hyperlink w:anchor="_Toc32365">
            <w:r>
              <w:t>4.3.5  Fo</w:t>
            </w:r>
            <w:r>
              <w:t>nte de dados</w:t>
            </w:r>
            <w:r>
              <w:tab/>
            </w:r>
            <w:r>
              <w:fldChar w:fldCharType="begin"/>
            </w:r>
            <w:r>
              <w:instrText>PAGEREF _Toc32365 \h</w:instrText>
            </w:r>
            <w:r>
              <w:fldChar w:fldCharType="separate"/>
            </w:r>
            <w:r>
              <w:t xml:space="preserve">16 </w:t>
            </w:r>
            <w:r>
              <w:fldChar w:fldCharType="end"/>
            </w:r>
          </w:hyperlink>
        </w:p>
        <w:p w:rsidR="00BE1A68" w:rsidRDefault="00454288">
          <w:pPr>
            <w:pStyle w:val="Sumrio3"/>
            <w:tabs>
              <w:tab w:val="right" w:leader="dot" w:pos="8565"/>
            </w:tabs>
          </w:pPr>
          <w:hyperlink w:anchor="_Toc32366">
            <w:r>
              <w:t>4.3.6  Instrumento da coleta de dados</w:t>
            </w:r>
            <w:r>
              <w:tab/>
            </w:r>
            <w:r>
              <w:fldChar w:fldCharType="begin"/>
            </w:r>
            <w:r>
              <w:instrText>PAGEREF _Toc32366 \h</w:instrText>
            </w:r>
            <w:r>
              <w:fldChar w:fldCharType="separate"/>
            </w:r>
            <w:r>
              <w:t xml:space="preserve">16 </w:t>
            </w:r>
            <w:r>
              <w:fldChar w:fldCharType="end"/>
            </w:r>
          </w:hyperlink>
        </w:p>
        <w:p w:rsidR="00BE1A68" w:rsidRDefault="00454288">
          <w:pPr>
            <w:pStyle w:val="Sumrio3"/>
            <w:tabs>
              <w:tab w:val="right" w:leader="dot" w:pos="8565"/>
            </w:tabs>
          </w:pPr>
          <w:hyperlink w:anchor="_Toc32367">
            <w:r>
              <w:t>4.3.7  Procedimento da coleta de dados</w:t>
            </w:r>
            <w:r>
              <w:tab/>
            </w:r>
            <w:r>
              <w:fldChar w:fldCharType="begin"/>
            </w:r>
            <w:r>
              <w:instrText>PAGEREF _Toc32367 \h</w:instrText>
            </w:r>
            <w:r>
              <w:fldChar w:fldCharType="separate"/>
            </w:r>
            <w:r>
              <w:t xml:space="preserve">16 </w:t>
            </w:r>
            <w:r>
              <w:fldChar w:fldCharType="end"/>
            </w:r>
          </w:hyperlink>
        </w:p>
        <w:p w:rsidR="00BE1A68" w:rsidRDefault="00454288">
          <w:pPr>
            <w:pStyle w:val="Sumrio4"/>
            <w:tabs>
              <w:tab w:val="right" w:leader="dot" w:pos="8565"/>
            </w:tabs>
          </w:pPr>
          <w:hyperlink w:anchor="_Toc32368">
            <w:r>
              <w:t xml:space="preserve">4.3.7.1  </w:t>
            </w:r>
            <w:r>
              <w:rPr>
                <w:u w:val="single" w:color="000000"/>
              </w:rPr>
              <w:t>Análise histopatológica</w:t>
            </w:r>
            <w:r>
              <w:tab/>
            </w:r>
            <w:r>
              <w:fldChar w:fldCharType="begin"/>
            </w:r>
            <w:r>
              <w:instrText>PAGEREF _Toc32368 \h</w:instrText>
            </w:r>
            <w:r>
              <w:fldChar w:fldCharType="separate"/>
            </w:r>
            <w:r>
              <w:t xml:space="preserve">16 </w:t>
            </w:r>
            <w:r>
              <w:fldChar w:fldCharType="end"/>
            </w:r>
          </w:hyperlink>
        </w:p>
        <w:p w:rsidR="00BE1A68" w:rsidRDefault="00454288">
          <w:pPr>
            <w:pStyle w:val="Sumrio5"/>
            <w:tabs>
              <w:tab w:val="right" w:leader="dot" w:pos="8565"/>
            </w:tabs>
          </w:pPr>
          <w:hyperlink w:anchor="_Toc32369">
            <w:r>
              <w:t>4.3.7.1.1  Análise subjetiva</w:t>
            </w:r>
            <w:r>
              <w:tab/>
            </w:r>
            <w:r>
              <w:fldChar w:fldCharType="begin"/>
            </w:r>
            <w:r>
              <w:instrText>PAGEREF _Toc32369 \h</w:instrText>
            </w:r>
            <w:r>
              <w:fldChar w:fldCharType="separate"/>
            </w:r>
            <w:r>
              <w:t xml:space="preserve">16 </w:t>
            </w:r>
            <w:r>
              <w:fldChar w:fldCharType="end"/>
            </w:r>
          </w:hyperlink>
        </w:p>
        <w:p w:rsidR="00BE1A68" w:rsidRDefault="00454288">
          <w:pPr>
            <w:pStyle w:val="Sumrio5"/>
            <w:tabs>
              <w:tab w:val="right" w:leader="dot" w:pos="8565"/>
            </w:tabs>
          </w:pPr>
          <w:hyperlink w:anchor="_Toc32370">
            <w:r>
              <w:t xml:space="preserve">4.3.7.1.2  Análise </w:t>
            </w:r>
            <w:r>
              <w:t>objetiva</w:t>
            </w:r>
            <w:r>
              <w:tab/>
            </w:r>
            <w:r>
              <w:fldChar w:fldCharType="begin"/>
            </w:r>
            <w:r>
              <w:instrText>PAGEREF _Toc32370 \h</w:instrText>
            </w:r>
            <w:r>
              <w:fldChar w:fldCharType="separate"/>
            </w:r>
            <w:r>
              <w:t xml:space="preserve">17 </w:t>
            </w:r>
            <w:r>
              <w:fldChar w:fldCharType="end"/>
            </w:r>
          </w:hyperlink>
        </w:p>
        <w:p w:rsidR="00BE1A68" w:rsidRDefault="00454288">
          <w:pPr>
            <w:pStyle w:val="Sumrio4"/>
            <w:tabs>
              <w:tab w:val="right" w:leader="dot" w:pos="8565"/>
            </w:tabs>
          </w:pPr>
          <w:hyperlink w:anchor="_Toc32371">
            <w:r>
              <w:t xml:space="preserve">4.3.7.2  </w:t>
            </w:r>
            <w:r>
              <w:rPr>
                <w:u w:val="single" w:color="000000"/>
              </w:rPr>
              <w:t>Imuno-histoquímica</w:t>
            </w:r>
            <w:r>
              <w:tab/>
            </w:r>
            <w:r>
              <w:fldChar w:fldCharType="begin"/>
            </w:r>
            <w:r>
              <w:instrText>PAGEREF _Toc32371 \h</w:instrText>
            </w:r>
            <w:r>
              <w:fldChar w:fldCharType="separate"/>
            </w:r>
            <w:r>
              <w:t xml:space="preserve">17 </w:t>
            </w:r>
            <w:r>
              <w:fldChar w:fldCharType="end"/>
            </w:r>
          </w:hyperlink>
        </w:p>
        <w:p w:rsidR="00BE1A68" w:rsidRDefault="00454288">
          <w:pPr>
            <w:pStyle w:val="Sumrio2"/>
            <w:tabs>
              <w:tab w:val="right" w:leader="dot" w:pos="8565"/>
            </w:tabs>
          </w:pPr>
          <w:hyperlink w:anchor="_Toc32372">
            <w:r>
              <w:t>4.4  VARIÁVEIS</w:t>
            </w:r>
            <w:r>
              <w:tab/>
            </w:r>
            <w:r>
              <w:fldChar w:fldCharType="begin"/>
            </w:r>
            <w:r>
              <w:instrText>PAGEREF _Toc32372 \h</w:instrText>
            </w:r>
            <w:r>
              <w:fldChar w:fldCharType="separate"/>
            </w:r>
            <w:r>
              <w:t xml:space="preserve">17 </w:t>
            </w:r>
            <w:r>
              <w:fldChar w:fldCharType="end"/>
            </w:r>
          </w:hyperlink>
        </w:p>
        <w:p w:rsidR="00BE1A68" w:rsidRDefault="00454288">
          <w:pPr>
            <w:pStyle w:val="Sumrio3"/>
            <w:tabs>
              <w:tab w:val="right" w:leader="dot" w:pos="8565"/>
            </w:tabs>
          </w:pPr>
          <w:hyperlink w:anchor="_Toc32373">
            <w:r>
              <w:t>4.4.1  Biológicas</w:t>
            </w:r>
            <w:r>
              <w:tab/>
            </w:r>
            <w:r>
              <w:fldChar w:fldCharType="begin"/>
            </w:r>
            <w:r>
              <w:instrText>PAGEREF _To</w:instrText>
            </w:r>
            <w:r>
              <w:instrText>c32373 \h</w:instrText>
            </w:r>
            <w:r>
              <w:fldChar w:fldCharType="separate"/>
            </w:r>
            <w:r>
              <w:t xml:space="preserve">17 </w:t>
            </w:r>
            <w:r>
              <w:fldChar w:fldCharType="end"/>
            </w:r>
          </w:hyperlink>
        </w:p>
        <w:p w:rsidR="00BE1A68" w:rsidRDefault="00454288">
          <w:pPr>
            <w:pStyle w:val="Sumrio3"/>
            <w:tabs>
              <w:tab w:val="right" w:leader="dot" w:pos="8565"/>
            </w:tabs>
          </w:pPr>
          <w:hyperlink w:anchor="_Toc32374">
            <w:r>
              <w:t>4.4.2  Clínicas</w:t>
            </w:r>
            <w:r>
              <w:tab/>
            </w:r>
            <w:r>
              <w:fldChar w:fldCharType="begin"/>
            </w:r>
            <w:r>
              <w:instrText>PAGEREF _Toc32374 \h</w:instrText>
            </w:r>
            <w:r>
              <w:fldChar w:fldCharType="separate"/>
            </w:r>
            <w:r>
              <w:t xml:space="preserve">17 </w:t>
            </w:r>
            <w:r>
              <w:fldChar w:fldCharType="end"/>
            </w:r>
          </w:hyperlink>
        </w:p>
        <w:p w:rsidR="00BE1A68" w:rsidRDefault="00454288">
          <w:pPr>
            <w:pStyle w:val="Sumrio3"/>
            <w:tabs>
              <w:tab w:val="right" w:leader="dot" w:pos="8565"/>
            </w:tabs>
          </w:pPr>
          <w:hyperlink w:anchor="_Toc32375">
            <w:r>
              <w:t>4.4.3  Imun</w:t>
            </w:r>
            <w:r>
              <w:t>o-histoquímicas</w:t>
            </w:r>
            <w:r>
              <w:tab/>
            </w:r>
            <w:r>
              <w:fldChar w:fldCharType="begin"/>
            </w:r>
            <w:r>
              <w:instrText>PAGEREF _Toc32375 \h</w:instrText>
            </w:r>
            <w:r>
              <w:fldChar w:fldCharType="separate"/>
            </w:r>
            <w:r>
              <w:t xml:space="preserve">17 </w:t>
            </w:r>
            <w:r>
              <w:fldChar w:fldCharType="end"/>
            </w:r>
          </w:hyperlink>
        </w:p>
        <w:p w:rsidR="00BE1A68" w:rsidRDefault="00454288">
          <w:pPr>
            <w:pStyle w:val="Sumrio2"/>
            <w:tabs>
              <w:tab w:val="right" w:leader="dot" w:pos="8565"/>
            </w:tabs>
          </w:pPr>
          <w:hyperlink w:anchor="_Toc32376">
            <w:r>
              <w:t>4.5  PLANO</w:t>
            </w:r>
            <w:r>
              <w:rPr>
                <w:sz w:val="19"/>
              </w:rPr>
              <w:t xml:space="preserve"> </w:t>
            </w:r>
            <w:r>
              <w:t>DE</w:t>
            </w:r>
            <w:r>
              <w:rPr>
                <w:sz w:val="19"/>
              </w:rPr>
              <w:t xml:space="preserve"> </w:t>
            </w:r>
            <w:r>
              <w:t>ANÁLISE</w:t>
            </w:r>
            <w:r>
              <w:rPr>
                <w:sz w:val="19"/>
              </w:rPr>
              <w:t xml:space="preserve"> </w:t>
            </w:r>
            <w:r>
              <w:t>DE</w:t>
            </w:r>
            <w:r>
              <w:rPr>
                <w:sz w:val="19"/>
              </w:rPr>
              <w:t xml:space="preserve"> </w:t>
            </w:r>
            <w:r>
              <w:t>DADOS</w:t>
            </w:r>
            <w:r>
              <w:tab/>
            </w:r>
            <w:r>
              <w:fldChar w:fldCharType="begin"/>
            </w:r>
            <w:r>
              <w:instrText>PAGEREF _Toc32376 \h</w:instrText>
            </w:r>
            <w:r>
              <w:fldChar w:fldCharType="separate"/>
            </w:r>
            <w:r>
              <w:t xml:space="preserve">18 </w:t>
            </w:r>
            <w:r>
              <w:fldChar w:fldCharType="end"/>
            </w:r>
          </w:hyperlink>
        </w:p>
        <w:p w:rsidR="00BE1A68" w:rsidRDefault="00454288">
          <w:pPr>
            <w:pStyle w:val="Sumrio2"/>
            <w:tabs>
              <w:tab w:val="right" w:leader="dot" w:pos="8565"/>
            </w:tabs>
          </w:pPr>
          <w:hyperlink w:anchor="_Toc32377">
            <w:r>
              <w:t>4.6  ASPECTOS</w:t>
            </w:r>
            <w:r>
              <w:rPr>
                <w:sz w:val="19"/>
              </w:rPr>
              <w:t xml:space="preserve"> </w:t>
            </w:r>
            <w:r>
              <w:t>ÉTICOS</w:t>
            </w:r>
            <w:r>
              <w:tab/>
            </w:r>
            <w:r>
              <w:fldChar w:fldCharType="begin"/>
            </w:r>
            <w:r>
              <w:instrText>PAGEREF _Toc32377 \h</w:instrText>
            </w:r>
            <w:r>
              <w:fldChar w:fldCharType="separate"/>
            </w:r>
            <w:r>
              <w:t xml:space="preserve">18 </w:t>
            </w:r>
            <w:r>
              <w:fldChar w:fldCharType="end"/>
            </w:r>
          </w:hyperlink>
        </w:p>
        <w:p w:rsidR="00BE1A68" w:rsidRDefault="00454288">
          <w:pPr>
            <w:pStyle w:val="Sumrio1"/>
            <w:tabs>
              <w:tab w:val="right" w:leader="dot" w:pos="8565"/>
            </w:tabs>
          </w:pPr>
          <w:hyperlink w:anchor="_Toc32378">
            <w:r>
              <w:t>5  RESULTADOS</w:t>
            </w:r>
            <w:r>
              <w:tab/>
            </w:r>
            <w:r>
              <w:fldChar w:fldCharType="begin"/>
            </w:r>
            <w:r>
              <w:instrText>PAGEREF _Toc32378 \h</w:instrText>
            </w:r>
            <w:r>
              <w:fldChar w:fldCharType="separate"/>
            </w:r>
            <w:r>
              <w:t xml:space="preserve">19 </w:t>
            </w:r>
            <w:r>
              <w:fldChar w:fldCharType="end"/>
            </w:r>
          </w:hyperlink>
        </w:p>
        <w:p w:rsidR="00BE1A68" w:rsidRDefault="00454288">
          <w:pPr>
            <w:pStyle w:val="Sumrio1"/>
            <w:tabs>
              <w:tab w:val="right" w:leader="dot" w:pos="8565"/>
            </w:tabs>
          </w:pPr>
          <w:hyperlink w:anchor="_Toc32379">
            <w:r>
              <w:t>6  DISCUSSÃO</w:t>
            </w:r>
            <w:r>
              <w:tab/>
            </w:r>
            <w:r>
              <w:fldChar w:fldCharType="begin"/>
            </w:r>
            <w:r>
              <w:instrText>PAGEREF _Toc32379 \h</w:instrText>
            </w:r>
            <w:r>
              <w:fldChar w:fldCharType="separate"/>
            </w:r>
            <w:r>
              <w:t xml:space="preserve">21 </w:t>
            </w:r>
            <w:r>
              <w:fldChar w:fldCharType="end"/>
            </w:r>
          </w:hyperlink>
        </w:p>
        <w:p w:rsidR="00BE1A68" w:rsidRDefault="00454288">
          <w:pPr>
            <w:pStyle w:val="Sumrio1"/>
            <w:tabs>
              <w:tab w:val="right" w:leader="dot" w:pos="8565"/>
            </w:tabs>
          </w:pPr>
          <w:hyperlink w:anchor="_Toc32380">
            <w:r>
              <w:t>7  CONCLUSÃO</w:t>
            </w:r>
            <w:r>
              <w:tab/>
            </w:r>
            <w:r>
              <w:fldChar w:fldCharType="begin"/>
            </w:r>
            <w:r>
              <w:instrText>PAGEREF _Toc32380 \h</w:instrText>
            </w:r>
            <w:r>
              <w:fldChar w:fldCharType="separate"/>
            </w:r>
            <w:r>
              <w:t xml:space="preserve">23 </w:t>
            </w:r>
            <w:r>
              <w:fldChar w:fldCharType="end"/>
            </w:r>
          </w:hyperlink>
        </w:p>
        <w:p w:rsidR="00BE1A68" w:rsidRDefault="00454288">
          <w:pPr>
            <w:pStyle w:val="Sumrio1"/>
            <w:tabs>
              <w:tab w:val="right" w:leader="dot" w:pos="8565"/>
            </w:tabs>
          </w:pPr>
          <w:hyperlink w:anchor="_Toc32381">
            <w:r>
              <w:t>8  REFERÊNCIAS BIBLIOGRÁFICAS</w:t>
            </w:r>
            <w:r>
              <w:tab/>
            </w:r>
            <w:r>
              <w:fldChar w:fldCharType="begin"/>
            </w:r>
            <w:r>
              <w:instrText>PAGEREF _Toc32381 \h</w:instrText>
            </w:r>
            <w:r>
              <w:fldChar w:fldCharType="separate"/>
            </w:r>
            <w:r>
              <w:t xml:space="preserve">24 </w:t>
            </w:r>
            <w:r>
              <w:fldChar w:fldCharType="end"/>
            </w:r>
          </w:hyperlink>
        </w:p>
        <w:p w:rsidR="00BE1A68" w:rsidRDefault="00454288">
          <w:r>
            <w:fldChar w:fldCharType="end"/>
          </w:r>
        </w:p>
      </w:sdtContent>
    </w:sdt>
    <w:p w:rsidR="00BE1A68" w:rsidRDefault="00454288">
      <w:pPr>
        <w:spacing w:after="273" w:line="259" w:lineRule="auto"/>
        <w:ind w:left="0" w:firstLine="0"/>
        <w:jc w:val="left"/>
      </w:pPr>
      <w:r>
        <w:rPr>
          <w:b/>
        </w:rPr>
        <w:t xml:space="preserve"> </w:t>
      </w:r>
    </w:p>
    <w:p w:rsidR="00BE1A68" w:rsidRDefault="00454288">
      <w:pPr>
        <w:spacing w:after="0" w:line="259" w:lineRule="auto"/>
        <w:ind w:left="0" w:firstLine="0"/>
        <w:jc w:val="left"/>
      </w:pPr>
      <w:r>
        <w:t xml:space="preserve"> </w:t>
      </w:r>
      <w:r>
        <w:tab/>
      </w:r>
      <w:r>
        <w:rPr>
          <w:b/>
        </w:rPr>
        <w:t xml:space="preserve"> </w:t>
      </w:r>
    </w:p>
    <w:p w:rsidR="00BE1A68" w:rsidRDefault="00BE1A68">
      <w:pPr>
        <w:sectPr w:rsidR="00BE1A68">
          <w:headerReference w:type="even" r:id="rId8"/>
          <w:headerReference w:type="default" r:id="rId9"/>
          <w:headerReference w:type="first" r:id="rId10"/>
          <w:pgSz w:w="11906" w:h="16838"/>
          <w:pgMar w:top="717" w:right="1639" w:bottom="1547" w:left="1702" w:header="720" w:footer="720" w:gutter="0"/>
          <w:cols w:space="720"/>
          <w:titlePg/>
        </w:sectPr>
      </w:pPr>
    </w:p>
    <w:p w:rsidR="00BE1A68" w:rsidRDefault="00454288">
      <w:pPr>
        <w:pStyle w:val="Ttulo1"/>
        <w:spacing w:after="273"/>
        <w:ind w:left="705" w:right="0" w:hanging="360"/>
        <w:jc w:val="left"/>
      </w:pPr>
      <w:bookmarkStart w:id="1" w:name="_Toc32345"/>
      <w:r>
        <w:lastRenderedPageBreak/>
        <w:t>INTRODUÇÃO</w:t>
      </w:r>
      <w:r>
        <w:rPr>
          <w:b w:val="0"/>
        </w:rPr>
        <w:t xml:space="preserve"> </w:t>
      </w:r>
      <w:bookmarkEnd w:id="1"/>
    </w:p>
    <w:p w:rsidR="00BE1A68" w:rsidRDefault="00454288">
      <w:pPr>
        <w:spacing w:after="158" w:line="259" w:lineRule="auto"/>
        <w:ind w:left="0" w:firstLine="0"/>
        <w:jc w:val="left"/>
      </w:pPr>
      <w:r>
        <w:t xml:space="preserve"> </w:t>
      </w:r>
    </w:p>
    <w:p w:rsidR="00BE1A68" w:rsidRDefault="00454288">
      <w:pPr>
        <w:spacing w:after="223"/>
        <w:ind w:left="-15" w:right="339" w:firstLine="708"/>
      </w:pPr>
      <w:r>
        <w:t xml:space="preserve">Leishmaniose Cutânea (LC) é a forma clínica mais comum no Brasil de Leishmaniose Tegumentar Americana, doença negligenciada causada por parasitos intracelulares do gênero </w:t>
      </w:r>
      <w:proofErr w:type="spellStart"/>
      <w:r>
        <w:rPr>
          <w:i/>
        </w:rPr>
        <w:t>Leishmania</w:t>
      </w:r>
      <w:proofErr w:type="spellEnd"/>
      <w:r>
        <w:t xml:space="preserve">. As formas infectantes </w:t>
      </w:r>
      <w:proofErr w:type="spellStart"/>
      <w:r>
        <w:t>promastigotas</w:t>
      </w:r>
      <w:proofErr w:type="spellEnd"/>
      <w:r>
        <w:t xml:space="preserve"> </w:t>
      </w:r>
      <w:proofErr w:type="spellStart"/>
      <w:r>
        <w:t>metacíclicas</w:t>
      </w:r>
      <w:proofErr w:type="spellEnd"/>
      <w:r>
        <w:t xml:space="preserve"> desse parasito são trans</w:t>
      </w:r>
      <w:r>
        <w:t xml:space="preserve">mitidas ao homem pela picada do </w:t>
      </w:r>
      <w:proofErr w:type="spellStart"/>
      <w:r>
        <w:t>flebotomíneo</w:t>
      </w:r>
      <w:proofErr w:type="spellEnd"/>
      <w:r>
        <w:t xml:space="preserve"> fêmea infectado. Na derme, elas se aderem à superfície de macrófagos e células dendríticas, induzindo uma fagocitose mediada por receptores. No meio intracelular, essas </w:t>
      </w:r>
      <w:proofErr w:type="spellStart"/>
      <w:r>
        <w:t>promastigotas</w:t>
      </w:r>
      <w:proofErr w:type="spellEnd"/>
      <w:r>
        <w:t xml:space="preserve"> </w:t>
      </w:r>
      <w:proofErr w:type="spellStart"/>
      <w:r>
        <w:t>convertemse</w:t>
      </w:r>
      <w:proofErr w:type="spellEnd"/>
      <w:r>
        <w:t xml:space="preserve"> em amastigotas, </w:t>
      </w:r>
      <w:r>
        <w:t>forma característica do parasitismo em mamíferos, e replicam-se. Macrófagos infectados, ou com amastigotas, produzem várias citocinas, as quais recrutam células que formam a inflamação crônica, que pode ser, por vezes, granulomatosa, na pele. Essa inflamaç</w:t>
      </w:r>
      <w:r>
        <w:t>ão crônica tem papel controverso: se, por um lado, ela controla a replicação das amastigotas, por outro, contribui para destruição tecidual e formação da úlcera</w:t>
      </w:r>
      <w:r>
        <w:rPr>
          <w:vertAlign w:val="superscript"/>
        </w:rPr>
        <w:t>1, 2</w:t>
      </w:r>
      <w:r>
        <w:t xml:space="preserve">.  </w:t>
      </w:r>
    </w:p>
    <w:p w:rsidR="00BE1A68" w:rsidRDefault="00454288">
      <w:pPr>
        <w:spacing w:after="175"/>
        <w:ind w:left="-5" w:right="339"/>
      </w:pPr>
      <w:r>
        <w:t xml:space="preserve"> As </w:t>
      </w:r>
      <w:proofErr w:type="spellStart"/>
      <w:r>
        <w:t>intradermorreações</w:t>
      </w:r>
      <w:proofErr w:type="spellEnd"/>
      <w:r>
        <w:t xml:space="preserve"> são testes que avaliam a hipersensibilidade tardia de pacientes a</w:t>
      </w:r>
      <w:r>
        <w:t xml:space="preserve"> antígenos específicos para algumas doenças infecciosas, como tuberculose, hanseníase, esquistossomose e leishmaniose. Sabe-se que as </w:t>
      </w:r>
      <w:proofErr w:type="spellStart"/>
      <w:r>
        <w:t>intradermorreações</w:t>
      </w:r>
      <w:proofErr w:type="spellEnd"/>
      <w:r>
        <w:t xml:space="preserve"> de Montenegro (IDRM) verificam a presença de células T imune específicas aos antígenos de leishmânias</w:t>
      </w:r>
      <w:r>
        <w:rPr>
          <w:vertAlign w:val="superscript"/>
        </w:rPr>
        <w:t>2</w:t>
      </w:r>
      <w:r>
        <w:t>.</w:t>
      </w:r>
      <w:r>
        <w:t xml:space="preserve"> Essas células produzem IFN-γ, na derme, e induzem uma inflamação local, que pode ser mensurada: </w:t>
      </w:r>
      <w:proofErr w:type="spellStart"/>
      <w:r>
        <w:t>induração</w:t>
      </w:r>
      <w:proofErr w:type="spellEnd"/>
      <w:r>
        <w:t xml:space="preserve"> ≥ a 5mm é considerada positiva. Em Corte de Pedra, distrito localizado no município de Presidente Tancredo Neves (BA), região endêmica de transmissão</w:t>
      </w:r>
      <w:r>
        <w:t xml:space="preserve"> de </w:t>
      </w:r>
      <w:r>
        <w:rPr>
          <w:i/>
        </w:rPr>
        <w:t xml:space="preserve">L. </w:t>
      </w:r>
      <w:proofErr w:type="spellStart"/>
      <w:r>
        <w:rPr>
          <w:i/>
        </w:rPr>
        <w:t>braziliensis</w:t>
      </w:r>
      <w:proofErr w:type="spellEnd"/>
      <w:r>
        <w:t>, cerca de 10-15% dos moradores têm IDRM+ assintomáticos</w:t>
      </w:r>
      <w:r>
        <w:rPr>
          <w:vertAlign w:val="superscript"/>
        </w:rPr>
        <w:t>3</w:t>
      </w:r>
      <w:r>
        <w:t>, e, dos pacientes com úlceras de LC, cerca de 97% têm teste positivo, e apenas 3% têm IDRM-</w:t>
      </w:r>
      <w:r>
        <w:rPr>
          <w:vertAlign w:val="superscript"/>
        </w:rPr>
        <w:t>2</w:t>
      </w:r>
      <w:r>
        <w:t xml:space="preserve">. </w:t>
      </w:r>
    </w:p>
    <w:p w:rsidR="00BE1A68" w:rsidRDefault="00454288">
      <w:pPr>
        <w:ind w:left="-15" w:right="339" w:firstLine="708"/>
      </w:pPr>
      <w:r>
        <w:t>Um artigo já publicado</w:t>
      </w:r>
      <w:r>
        <w:rPr>
          <w:vertAlign w:val="superscript"/>
        </w:rPr>
        <w:t>2</w:t>
      </w:r>
      <w:r>
        <w:t xml:space="preserve"> revelou que pacientes com LC e IDRM- têm uma diminuição de r</w:t>
      </w:r>
      <w:r>
        <w:t xml:space="preserve">esposta Th1 e maior falha terapêutica ao antimoniato de N-metil </w:t>
      </w:r>
      <w:proofErr w:type="spellStart"/>
      <w:r>
        <w:t>glucamine</w:t>
      </w:r>
      <w:proofErr w:type="spellEnd"/>
      <w:r>
        <w:t xml:space="preserve"> (</w:t>
      </w:r>
      <w:proofErr w:type="spellStart"/>
      <w:r>
        <w:t>Sb</w:t>
      </w:r>
      <w:r>
        <w:rPr>
          <w:vertAlign w:val="superscript"/>
        </w:rPr>
        <w:t>V</w:t>
      </w:r>
      <w:proofErr w:type="spellEnd"/>
      <w:r>
        <w:t xml:space="preserve">) quando comparados aos pacientes que possuem hipersensibilidade tardia ao antígeno das </w:t>
      </w:r>
      <w:proofErr w:type="spellStart"/>
      <w:r>
        <w:t>leishmânias</w:t>
      </w:r>
      <w:proofErr w:type="spellEnd"/>
      <w:r>
        <w:t xml:space="preserve">. No entanto, os aspectos histopatológicos objetivos e subjetivos das biópsias </w:t>
      </w:r>
      <w:r>
        <w:t xml:space="preserve">não foram detalhadamente descritos. É importante caracterizá-los, a fim de que se verifiquem possíveis associações entre a apresentação dos tecidos e a resposta inflamatória dos pacientes com LC e IDRM-. </w:t>
      </w:r>
    </w:p>
    <w:p w:rsidR="00BE1A68" w:rsidRDefault="00454288">
      <w:pPr>
        <w:ind w:left="-15" w:right="339" w:firstLine="708"/>
      </w:pPr>
      <w:r>
        <w:lastRenderedPageBreak/>
        <w:t>O estabelecimento ou não de diferenças no padrão hi</w:t>
      </w:r>
      <w:r>
        <w:t>stológico de lesões em cada grupo pode auxiliar no entendimento da patogênese e do curso da doença. Dessa forma, uma análise tecidual com maior grau de detalhamento pode ser útil a pacientes que não possuam reatividade à IDRM, por ajudar a elucidar o compo</w:t>
      </w:r>
      <w:r>
        <w:t xml:space="preserve">rtamento da </w:t>
      </w:r>
      <w:r>
        <w:rPr>
          <w:i/>
        </w:rPr>
        <w:t xml:space="preserve">L. </w:t>
      </w:r>
      <w:proofErr w:type="spellStart"/>
      <w:r>
        <w:rPr>
          <w:i/>
        </w:rPr>
        <w:t>braziliensis</w:t>
      </w:r>
      <w:proofErr w:type="spellEnd"/>
      <w:r>
        <w:t xml:space="preserve"> nesses indivíduos. </w:t>
      </w:r>
    </w:p>
    <w:p w:rsidR="00BE1A68" w:rsidRDefault="00454288">
      <w:pPr>
        <w:spacing w:after="0" w:line="259" w:lineRule="auto"/>
        <w:ind w:left="0" w:firstLine="0"/>
        <w:jc w:val="left"/>
      </w:pPr>
      <w:r>
        <w:t xml:space="preserve"> </w:t>
      </w:r>
      <w:r>
        <w:tab/>
        <w:t xml:space="preserve"> </w:t>
      </w:r>
      <w:r>
        <w:br w:type="page"/>
      </w:r>
    </w:p>
    <w:p w:rsidR="00BE1A68" w:rsidRDefault="00454288">
      <w:pPr>
        <w:pStyle w:val="Ttulo1"/>
        <w:spacing w:after="273"/>
        <w:ind w:left="705" w:right="0" w:hanging="360"/>
        <w:jc w:val="left"/>
      </w:pPr>
      <w:bookmarkStart w:id="2" w:name="_Toc32346"/>
      <w:r>
        <w:lastRenderedPageBreak/>
        <w:t>OBJETIVOS</w:t>
      </w:r>
      <w:r>
        <w:rPr>
          <w:color w:val="FF0000"/>
        </w:rPr>
        <w:t xml:space="preserve"> </w:t>
      </w:r>
      <w:bookmarkEnd w:id="2"/>
    </w:p>
    <w:p w:rsidR="00BE1A68" w:rsidRDefault="00454288">
      <w:pPr>
        <w:spacing w:after="161" w:line="259" w:lineRule="auto"/>
        <w:ind w:left="0" w:firstLine="0"/>
        <w:jc w:val="left"/>
      </w:pPr>
      <w:r>
        <w:t xml:space="preserve"> </w:t>
      </w:r>
    </w:p>
    <w:p w:rsidR="00BE1A68" w:rsidRDefault="00454288">
      <w:pPr>
        <w:pStyle w:val="Ttulo2"/>
        <w:spacing w:after="273" w:line="259" w:lineRule="auto"/>
        <w:ind w:left="766" w:right="339" w:hanging="406"/>
      </w:pPr>
      <w:bookmarkStart w:id="3" w:name="_Toc32347"/>
      <w:r>
        <w:t xml:space="preserve">GERAL </w:t>
      </w:r>
      <w:bookmarkEnd w:id="3"/>
    </w:p>
    <w:p w:rsidR="00BE1A68" w:rsidRDefault="00454288">
      <w:pPr>
        <w:ind w:left="-15" w:right="339" w:firstLine="708"/>
      </w:pPr>
      <w:r>
        <w:t xml:space="preserve">Comparar os aspectos histopatológicos entre biópsias de pacientes com Leishmaniose Cutânea (LC) e </w:t>
      </w:r>
      <w:proofErr w:type="spellStart"/>
      <w:r>
        <w:t>intradermorreação</w:t>
      </w:r>
      <w:proofErr w:type="spellEnd"/>
      <w:r>
        <w:t xml:space="preserve"> de Montenegro (IDRM) negativa e pacientes com LC e IDRM positiva. </w:t>
      </w:r>
    </w:p>
    <w:p w:rsidR="00BE1A68" w:rsidRDefault="00454288">
      <w:pPr>
        <w:spacing w:after="277" w:line="259" w:lineRule="auto"/>
        <w:ind w:left="708" w:firstLine="0"/>
        <w:jc w:val="left"/>
      </w:pPr>
      <w:r>
        <w:t xml:space="preserve"> </w:t>
      </w:r>
    </w:p>
    <w:p w:rsidR="00BE1A68" w:rsidRDefault="00454288">
      <w:pPr>
        <w:pStyle w:val="Ttulo2"/>
        <w:spacing w:after="297" w:line="259" w:lineRule="auto"/>
        <w:ind w:left="766" w:right="339" w:hanging="406"/>
      </w:pPr>
      <w:bookmarkStart w:id="4" w:name="_Toc32348"/>
      <w:r>
        <w:t xml:space="preserve">ESPECÍFICOS </w:t>
      </w:r>
      <w:bookmarkEnd w:id="4"/>
    </w:p>
    <w:p w:rsidR="00BE1A68" w:rsidRDefault="00454288">
      <w:pPr>
        <w:numPr>
          <w:ilvl w:val="0"/>
          <w:numId w:val="1"/>
        </w:numPr>
        <w:spacing w:after="13"/>
        <w:ind w:right="339" w:hanging="360"/>
      </w:pPr>
      <w:r>
        <w:t xml:space="preserve">Comparar a extensão das áreas de inflamação de biópsias de pele entre pacientes com IDRM positiva e IDRM negativa; </w:t>
      </w:r>
    </w:p>
    <w:p w:rsidR="00BE1A68" w:rsidRDefault="00454288">
      <w:pPr>
        <w:numPr>
          <w:ilvl w:val="0"/>
          <w:numId w:val="1"/>
        </w:numPr>
        <w:spacing w:after="15"/>
        <w:ind w:right="339" w:hanging="360"/>
      </w:pPr>
      <w:r>
        <w:t xml:space="preserve">Comparar a extensão das áreas de necrose de biópsias de pele entre pacientes de ambos os grupos; </w:t>
      </w:r>
    </w:p>
    <w:p w:rsidR="00BE1A68" w:rsidRDefault="00454288">
      <w:pPr>
        <w:numPr>
          <w:ilvl w:val="0"/>
          <w:numId w:val="1"/>
        </w:numPr>
        <w:spacing w:after="15"/>
        <w:ind w:right="339" w:hanging="360"/>
      </w:pPr>
      <w:r>
        <w:t xml:space="preserve">Avaliar a presença de granulomas em biópsias de pele de pacientes de ambos os grupos; </w:t>
      </w:r>
    </w:p>
    <w:p w:rsidR="00BE1A68" w:rsidRDefault="00454288">
      <w:pPr>
        <w:numPr>
          <w:ilvl w:val="0"/>
          <w:numId w:val="1"/>
        </w:numPr>
        <w:spacing w:after="15"/>
        <w:ind w:right="339" w:hanging="360"/>
      </w:pPr>
      <w:r>
        <w:t xml:space="preserve">Identificar e quantificar plasmócitos, por análise de lâminas coradas em PAS, em biópsias de pele de pacientes ambos os grupos; </w:t>
      </w:r>
    </w:p>
    <w:p w:rsidR="00BE1A68" w:rsidRDefault="00454288">
      <w:pPr>
        <w:numPr>
          <w:ilvl w:val="0"/>
          <w:numId w:val="1"/>
        </w:numPr>
        <w:spacing w:after="21"/>
        <w:ind w:right="339" w:hanging="360"/>
      </w:pPr>
      <w:proofErr w:type="spellStart"/>
      <w:r>
        <w:t>Imunomarcar</w:t>
      </w:r>
      <w:proofErr w:type="spellEnd"/>
      <w:r>
        <w:t xml:space="preserve"> e quantificar amastigotas de</w:t>
      </w:r>
      <w:r>
        <w:t xml:space="preserve"> </w:t>
      </w:r>
      <w:r>
        <w:rPr>
          <w:i/>
        </w:rPr>
        <w:t xml:space="preserve">L. </w:t>
      </w:r>
      <w:proofErr w:type="spellStart"/>
      <w:r>
        <w:rPr>
          <w:i/>
        </w:rPr>
        <w:t>braziliensis</w:t>
      </w:r>
      <w:proofErr w:type="spellEnd"/>
      <w:r>
        <w:rPr>
          <w:i/>
        </w:rPr>
        <w:t xml:space="preserve"> </w:t>
      </w:r>
      <w:r>
        <w:t xml:space="preserve">por imuno-histoquímica (IHQ) a partir das biópsias de pele de pacientes de ambos os grupos; </w:t>
      </w:r>
    </w:p>
    <w:p w:rsidR="00BE1A68" w:rsidRDefault="00454288">
      <w:pPr>
        <w:numPr>
          <w:ilvl w:val="0"/>
          <w:numId w:val="1"/>
        </w:numPr>
        <w:spacing w:after="14"/>
        <w:ind w:right="339" w:hanging="360"/>
      </w:pPr>
      <w:r>
        <w:t>Identificar e quantificar, por IHQ, linfócitos B CD20</w:t>
      </w:r>
      <w:r>
        <w:rPr>
          <w:vertAlign w:val="superscript"/>
        </w:rPr>
        <w:t>+</w:t>
      </w:r>
      <w:r>
        <w:t xml:space="preserve"> em ambos os grupos, estabelecendo comparações e correlações;</w:t>
      </w:r>
      <w:r>
        <w:rPr>
          <w:b/>
        </w:rPr>
        <w:t xml:space="preserve"> </w:t>
      </w:r>
    </w:p>
    <w:p w:rsidR="00BE1A68" w:rsidRDefault="00454288">
      <w:pPr>
        <w:numPr>
          <w:ilvl w:val="0"/>
          <w:numId w:val="1"/>
        </w:numPr>
        <w:spacing w:after="12"/>
        <w:ind w:right="339" w:hanging="360"/>
      </w:pPr>
      <w:r>
        <w:t>Identificar e quantificar, po</w:t>
      </w:r>
      <w:r>
        <w:t>r IHQ, macrófagos CD68</w:t>
      </w:r>
      <w:r>
        <w:rPr>
          <w:vertAlign w:val="superscript"/>
        </w:rPr>
        <w:t>+</w:t>
      </w:r>
      <w:r>
        <w:t xml:space="preserve"> em ambos os grupos, estabelecendo comparações e correlações;</w:t>
      </w:r>
      <w:r>
        <w:rPr>
          <w:b/>
        </w:rPr>
        <w:t xml:space="preserve"> </w:t>
      </w:r>
    </w:p>
    <w:p w:rsidR="00BE1A68" w:rsidRDefault="00454288">
      <w:pPr>
        <w:numPr>
          <w:ilvl w:val="0"/>
          <w:numId w:val="1"/>
        </w:numPr>
        <w:spacing w:after="15"/>
        <w:ind w:right="339" w:hanging="360"/>
      </w:pPr>
      <w:r>
        <w:t>Identificar e quantificar, por IHQ, células NK CD56</w:t>
      </w:r>
      <w:r>
        <w:rPr>
          <w:vertAlign w:val="superscript"/>
        </w:rPr>
        <w:t>+</w:t>
      </w:r>
      <w:r>
        <w:t xml:space="preserve"> em ambos os grupos, estabelecendo comparações e correlações;</w:t>
      </w:r>
      <w:r>
        <w:rPr>
          <w:b/>
        </w:rPr>
        <w:t xml:space="preserve"> </w:t>
      </w:r>
    </w:p>
    <w:p w:rsidR="00BE1A68" w:rsidRDefault="00454288">
      <w:pPr>
        <w:numPr>
          <w:ilvl w:val="0"/>
          <w:numId w:val="1"/>
        </w:numPr>
        <w:spacing w:after="16"/>
        <w:ind w:right="339" w:hanging="360"/>
      </w:pPr>
      <w:r>
        <w:t>Identificar e quantificar, por IHQ, linfócitos T CD8</w:t>
      </w:r>
      <w:r>
        <w:rPr>
          <w:vertAlign w:val="superscript"/>
        </w:rPr>
        <w:t>+</w:t>
      </w:r>
      <w:r>
        <w:t xml:space="preserve"> e</w:t>
      </w:r>
      <w:r>
        <w:t>m ambos os grupos, estabelecendo comparações e correlações;</w:t>
      </w:r>
      <w:r>
        <w:rPr>
          <w:b/>
        </w:rPr>
        <w:t xml:space="preserve"> </w:t>
      </w:r>
    </w:p>
    <w:p w:rsidR="00BE1A68" w:rsidRDefault="00454288">
      <w:pPr>
        <w:numPr>
          <w:ilvl w:val="0"/>
          <w:numId w:val="1"/>
        </w:numPr>
        <w:ind w:right="339" w:hanging="360"/>
      </w:pPr>
      <w:r>
        <w:t>Identificar e quantificar, por IHQ, IL-1β</w:t>
      </w:r>
      <w:r>
        <w:rPr>
          <w:vertAlign w:val="superscript"/>
        </w:rPr>
        <w:t>+</w:t>
      </w:r>
      <w:r>
        <w:t xml:space="preserve"> e </w:t>
      </w:r>
      <w:proofErr w:type="spellStart"/>
      <w:r>
        <w:t>granzima</w:t>
      </w:r>
      <w:proofErr w:type="spellEnd"/>
      <w:r>
        <w:t xml:space="preserve"> B</w:t>
      </w:r>
      <w:r>
        <w:rPr>
          <w:vertAlign w:val="superscript"/>
        </w:rPr>
        <w:t>+</w:t>
      </w:r>
      <w:r>
        <w:t xml:space="preserve"> em ambos os grupos, estabelecendo comparações e correlações.</w:t>
      </w:r>
      <w:r>
        <w:rPr>
          <w:b/>
        </w:rPr>
        <w:t xml:space="preserve"> </w:t>
      </w:r>
    </w:p>
    <w:p w:rsidR="00BE1A68" w:rsidRDefault="00454288">
      <w:pPr>
        <w:spacing w:after="276" w:line="259" w:lineRule="auto"/>
        <w:ind w:left="0" w:firstLine="0"/>
        <w:jc w:val="left"/>
      </w:pPr>
      <w:r>
        <w:rPr>
          <w:b/>
        </w:rPr>
        <w:t xml:space="preserve"> </w:t>
      </w:r>
    </w:p>
    <w:p w:rsidR="00BE1A68" w:rsidRDefault="00454288">
      <w:pPr>
        <w:spacing w:after="0" w:line="259" w:lineRule="auto"/>
        <w:ind w:left="0" w:firstLine="0"/>
        <w:jc w:val="left"/>
      </w:pPr>
      <w:r>
        <w:rPr>
          <w:b/>
        </w:rPr>
        <w:t xml:space="preserve"> </w:t>
      </w:r>
    </w:p>
    <w:p w:rsidR="00BE1A68" w:rsidRDefault="00454288">
      <w:pPr>
        <w:pStyle w:val="Ttulo1"/>
        <w:spacing w:after="273"/>
        <w:ind w:left="705" w:right="0" w:hanging="360"/>
        <w:jc w:val="left"/>
      </w:pPr>
      <w:bookmarkStart w:id="5" w:name="_Toc32349"/>
      <w:r>
        <w:lastRenderedPageBreak/>
        <w:t>REVISÃO DE LITERATURA</w:t>
      </w:r>
      <w:r>
        <w:rPr>
          <w:b w:val="0"/>
        </w:rPr>
        <w:t xml:space="preserve"> </w:t>
      </w:r>
      <w:bookmarkEnd w:id="5"/>
    </w:p>
    <w:p w:rsidR="00BE1A68" w:rsidRDefault="00454288">
      <w:pPr>
        <w:spacing w:after="277" w:line="259" w:lineRule="auto"/>
        <w:ind w:left="0" w:firstLine="0"/>
        <w:jc w:val="left"/>
      </w:pPr>
      <w:r>
        <w:rPr>
          <w:b/>
        </w:rPr>
        <w:t xml:space="preserve"> </w:t>
      </w:r>
    </w:p>
    <w:p w:rsidR="00BE1A68" w:rsidRDefault="00454288">
      <w:pPr>
        <w:pStyle w:val="Ttulo2"/>
        <w:spacing w:after="273" w:line="259" w:lineRule="auto"/>
        <w:ind w:left="766" w:right="339" w:hanging="406"/>
      </w:pPr>
      <w:bookmarkStart w:id="6" w:name="_Toc32350"/>
      <w:r>
        <w:t xml:space="preserve">EPIDEMIOLOGIA </w:t>
      </w:r>
      <w:bookmarkEnd w:id="6"/>
    </w:p>
    <w:p w:rsidR="00BE1A68" w:rsidRDefault="00454288">
      <w:pPr>
        <w:ind w:left="-15" w:right="339" w:firstLine="708"/>
      </w:pPr>
      <w:r>
        <w:t xml:space="preserve">Leishmaniose é o nome dado a uma série de doenças causadas por parasitos do gênero </w:t>
      </w:r>
      <w:proofErr w:type="spellStart"/>
      <w:r>
        <w:rPr>
          <w:i/>
        </w:rPr>
        <w:t>Leishmania</w:t>
      </w:r>
      <w:proofErr w:type="spellEnd"/>
      <w:r>
        <w:t>. A expressão “Leishmaniose Tegumentar Americana” (LTA) é utilizada para descrever a forma clínica da doença que acomete pele (leishmaniose cutânea; LC) e/ou mucos</w:t>
      </w:r>
      <w:r>
        <w:t>as (leishmaniose mucosa; LM). Ainda que haja registros de leishmaniose tegumentar na América do Norte ou na Europa, a maioria dos casos é verificada em países subdesenvolvidos ou em desenvolvimento: cerca de 75% de todos os casos de LC são registrados no A</w:t>
      </w:r>
      <w:r>
        <w:t>feganistão, Brasil e Síria</w:t>
      </w:r>
      <w:r>
        <w:rPr>
          <w:vertAlign w:val="superscript"/>
        </w:rPr>
        <w:t>4</w:t>
      </w:r>
      <w:r>
        <w:t xml:space="preserve">. </w:t>
      </w:r>
    </w:p>
    <w:p w:rsidR="00BE1A68" w:rsidRDefault="00454288">
      <w:pPr>
        <w:spacing w:after="176"/>
        <w:ind w:left="-15" w:right="339" w:firstLine="708"/>
      </w:pPr>
      <w:r>
        <w:t>No Brasil, a forma clínica mais comum da doença é a LC. Cerca de 18 mil casos são notificados por ano no país</w:t>
      </w:r>
      <w:r>
        <w:rPr>
          <w:vertAlign w:val="superscript"/>
        </w:rPr>
        <w:t>5</w:t>
      </w:r>
      <w:r>
        <w:t xml:space="preserve">, podendo estar associados a diferentes espécies do parasito. </w:t>
      </w:r>
      <w:r>
        <w:rPr>
          <w:i/>
        </w:rPr>
        <w:t xml:space="preserve">L. </w:t>
      </w:r>
      <w:proofErr w:type="spellStart"/>
      <w:r>
        <w:rPr>
          <w:i/>
        </w:rPr>
        <w:t>amazonensis</w:t>
      </w:r>
      <w:proofErr w:type="spellEnd"/>
      <w:r>
        <w:t xml:space="preserve">, </w:t>
      </w:r>
      <w:r>
        <w:rPr>
          <w:i/>
        </w:rPr>
        <w:t xml:space="preserve">L. </w:t>
      </w:r>
      <w:proofErr w:type="spellStart"/>
      <w:r>
        <w:rPr>
          <w:i/>
        </w:rPr>
        <w:t>braziliensis</w:t>
      </w:r>
      <w:proofErr w:type="spellEnd"/>
      <w:r>
        <w:t xml:space="preserve">, </w:t>
      </w:r>
      <w:r>
        <w:rPr>
          <w:i/>
        </w:rPr>
        <w:t xml:space="preserve">L. </w:t>
      </w:r>
      <w:proofErr w:type="spellStart"/>
      <w:r>
        <w:rPr>
          <w:i/>
        </w:rPr>
        <w:t>guyanensis</w:t>
      </w:r>
      <w:proofErr w:type="spellEnd"/>
      <w:r>
        <w:t xml:space="preserve">, </w:t>
      </w:r>
      <w:r>
        <w:rPr>
          <w:i/>
        </w:rPr>
        <w:t xml:space="preserve">L. </w:t>
      </w:r>
      <w:proofErr w:type="spellStart"/>
      <w:r>
        <w:rPr>
          <w:i/>
        </w:rPr>
        <w:t>lan</w:t>
      </w:r>
      <w:r>
        <w:rPr>
          <w:i/>
        </w:rPr>
        <w:t>soni</w:t>
      </w:r>
      <w:proofErr w:type="spellEnd"/>
      <w:r>
        <w:t xml:space="preserve">, </w:t>
      </w:r>
      <w:r>
        <w:rPr>
          <w:i/>
        </w:rPr>
        <w:t xml:space="preserve">L. </w:t>
      </w:r>
      <w:proofErr w:type="spellStart"/>
      <w:r>
        <w:rPr>
          <w:i/>
        </w:rPr>
        <w:t>lindembergi</w:t>
      </w:r>
      <w:proofErr w:type="spellEnd"/>
      <w:r>
        <w:t xml:space="preserve">, </w:t>
      </w:r>
      <w:r>
        <w:rPr>
          <w:i/>
        </w:rPr>
        <w:t xml:space="preserve">L. </w:t>
      </w:r>
      <w:proofErr w:type="spellStart"/>
      <w:r>
        <w:rPr>
          <w:i/>
        </w:rPr>
        <w:t>naiffi</w:t>
      </w:r>
      <w:proofErr w:type="spellEnd"/>
      <w:r>
        <w:t xml:space="preserve"> e </w:t>
      </w:r>
      <w:r>
        <w:rPr>
          <w:i/>
        </w:rPr>
        <w:t xml:space="preserve">L. </w:t>
      </w:r>
      <w:proofErr w:type="spellStart"/>
      <w:r>
        <w:rPr>
          <w:i/>
        </w:rPr>
        <w:t>shawi</w:t>
      </w:r>
      <w:proofErr w:type="spellEnd"/>
      <w:r>
        <w:t xml:space="preserve"> são as espécies presentes no Brasil</w:t>
      </w:r>
      <w:r>
        <w:rPr>
          <w:vertAlign w:val="superscript"/>
        </w:rPr>
        <w:t>6</w:t>
      </w:r>
      <w:r>
        <w:t>. Diferentes formas clínicas da doença podem ser desenvolvidas em infecções por diferentes espécies de leishmânia</w:t>
      </w:r>
      <w:r>
        <w:rPr>
          <w:vertAlign w:val="superscript"/>
        </w:rPr>
        <w:t>7</w:t>
      </w:r>
      <w:r>
        <w:t>. Ainda que haja casos autóctones em todas as unidades federati</w:t>
      </w:r>
      <w:r>
        <w:t>vas, as notificações concentram-se principalmente nas regiões Norte e Nordeste, responsáveis por cerca de 2/3 delas, sendo seguidas por Centro-Oeste, Sudeste e Sul</w:t>
      </w:r>
      <w:r>
        <w:rPr>
          <w:vertAlign w:val="superscript"/>
        </w:rPr>
        <w:t>5</w:t>
      </w:r>
      <w:r>
        <w:t xml:space="preserve">. Estados que contêm regiões endêmicas incluem Amazônia, Bahia, Espírito Santo, Goiás, Mato </w:t>
      </w:r>
      <w:r>
        <w:t>Grosso do Sul, Minas Gerais, Rio de Janeiro e São Paulo</w:t>
      </w:r>
      <w:r>
        <w:rPr>
          <w:vertAlign w:val="superscript"/>
        </w:rPr>
        <w:t>8</w:t>
      </w:r>
      <w:r>
        <w:t xml:space="preserve">. </w:t>
      </w:r>
    </w:p>
    <w:p w:rsidR="00BE1A68" w:rsidRDefault="00454288">
      <w:pPr>
        <w:spacing w:after="277" w:line="259" w:lineRule="auto"/>
        <w:ind w:left="0" w:firstLine="0"/>
        <w:jc w:val="left"/>
      </w:pPr>
      <w:r>
        <w:t xml:space="preserve"> </w:t>
      </w:r>
    </w:p>
    <w:p w:rsidR="00BE1A68" w:rsidRDefault="00454288">
      <w:pPr>
        <w:pStyle w:val="Ttulo2"/>
        <w:spacing w:after="273" w:line="259" w:lineRule="auto"/>
        <w:ind w:left="766" w:right="339" w:hanging="406"/>
      </w:pPr>
      <w:bookmarkStart w:id="7" w:name="_Toc32351"/>
      <w:r>
        <w:t xml:space="preserve">CICLO DE VIDA E TRANSMISSÃO </w:t>
      </w:r>
      <w:bookmarkEnd w:id="7"/>
    </w:p>
    <w:p w:rsidR="00BE1A68" w:rsidRDefault="00454288">
      <w:pPr>
        <w:spacing w:after="206"/>
        <w:ind w:left="-15" w:right="339" w:firstLine="708"/>
      </w:pPr>
      <w:r>
        <w:t xml:space="preserve">Os parasitos do gênero </w:t>
      </w:r>
      <w:proofErr w:type="spellStart"/>
      <w:r>
        <w:rPr>
          <w:i/>
        </w:rPr>
        <w:t>Leishmania</w:t>
      </w:r>
      <w:proofErr w:type="spellEnd"/>
      <w:r>
        <w:t xml:space="preserve"> são classificados como </w:t>
      </w:r>
      <w:proofErr w:type="spellStart"/>
      <w:r>
        <w:t>dimórficos</w:t>
      </w:r>
      <w:proofErr w:type="spellEnd"/>
      <w:r>
        <w:t xml:space="preserve">, visto que possuem duas formas morfológicas principais, que estão relacionadas a diferentes fases </w:t>
      </w:r>
      <w:r>
        <w:t>de seu ciclo de vida: amastigota e promastigota</w:t>
      </w:r>
      <w:r>
        <w:rPr>
          <w:vertAlign w:val="superscript"/>
        </w:rPr>
        <w:t>14, 15</w:t>
      </w:r>
      <w:r>
        <w:t xml:space="preserve">. </w:t>
      </w:r>
    </w:p>
    <w:p w:rsidR="00BE1A68" w:rsidRDefault="00454288">
      <w:pPr>
        <w:ind w:left="-15" w:right="339" w:firstLine="708"/>
      </w:pPr>
      <w:r>
        <w:t xml:space="preserve">O parasito causador da LC é transmitido ao homem por meio da picada do </w:t>
      </w:r>
      <w:proofErr w:type="spellStart"/>
      <w:r>
        <w:t>flebotomíneo</w:t>
      </w:r>
      <w:proofErr w:type="spellEnd"/>
      <w:r>
        <w:t xml:space="preserve"> fêmea, vulgarmente conhecido como “mosquito-palha”, inseto de hábito crepuscular. As formas </w:t>
      </w:r>
      <w:proofErr w:type="spellStart"/>
      <w:r>
        <w:t>promastigotas</w:t>
      </w:r>
      <w:proofErr w:type="spellEnd"/>
      <w:r>
        <w:t xml:space="preserve"> </w:t>
      </w:r>
      <w:proofErr w:type="spellStart"/>
      <w:r>
        <w:t>metacíclic</w:t>
      </w:r>
      <w:r>
        <w:t>as</w:t>
      </w:r>
      <w:proofErr w:type="spellEnd"/>
      <w:r>
        <w:t xml:space="preserve"> das </w:t>
      </w:r>
      <w:proofErr w:type="spellStart"/>
      <w:r>
        <w:t>leishmânias</w:t>
      </w:r>
      <w:proofErr w:type="spellEnd"/>
      <w:r>
        <w:t xml:space="preserve"> ficam localizadas na </w:t>
      </w:r>
      <w:proofErr w:type="spellStart"/>
      <w:r>
        <w:t>probóscide</w:t>
      </w:r>
      <w:proofErr w:type="spellEnd"/>
      <w:r>
        <w:t xml:space="preserve"> do vetor e são transferidas ao sangue do mamífero durante o repasto sanguíneo. No hospedeiro vertebrado, elas ativam uma resposta inflamatória e, ao serem </w:t>
      </w:r>
      <w:r>
        <w:lastRenderedPageBreak/>
        <w:t>fagocitadas, modificam-se estruturalmente, dando o</w:t>
      </w:r>
      <w:r>
        <w:t>rigem às formas amastigotas dos parasitos</w:t>
      </w:r>
      <w:r>
        <w:rPr>
          <w:vertAlign w:val="superscript"/>
        </w:rPr>
        <w:t>16</w:t>
      </w:r>
      <w:r>
        <w:t>, que se multiplicam por divisão binária e causam morte celular. No sangue dos mamíferos, as amastigotas estão livres para infectar novas células fagocitárias</w:t>
      </w:r>
      <w:r>
        <w:rPr>
          <w:vertAlign w:val="superscript"/>
        </w:rPr>
        <w:t>15</w:t>
      </w:r>
      <w:r>
        <w:t xml:space="preserve">. </w:t>
      </w:r>
    </w:p>
    <w:p w:rsidR="00BE1A68" w:rsidRDefault="00454288">
      <w:pPr>
        <w:spacing w:after="0"/>
        <w:ind w:left="-15" w:right="339" w:firstLine="708"/>
      </w:pPr>
      <w:r>
        <w:t xml:space="preserve">Outros </w:t>
      </w:r>
      <w:proofErr w:type="spellStart"/>
      <w:r>
        <w:t>flebotomíneos</w:t>
      </w:r>
      <w:proofErr w:type="spellEnd"/>
      <w:r>
        <w:t xml:space="preserve"> fêmeas podem, ao se alimentar</w:t>
      </w:r>
      <w:r>
        <w:t xml:space="preserve"> do sangue do hospedeiro infectado, ingerir fagócitos com amastigotas em seu interior, que, ao se multiplicarem e romperem a membrana celular dos leucócitos, ficam expostos no interior do intestino do </w:t>
      </w:r>
      <w:proofErr w:type="spellStart"/>
      <w:r>
        <w:t>flebotomíneo</w:t>
      </w:r>
      <w:proofErr w:type="spellEnd"/>
      <w:r>
        <w:t>. Lá, tais amastigotas sofrem um processo d</w:t>
      </w:r>
      <w:r>
        <w:t>e mudança estrutural, que pode levar de quatro a 25 dias</w:t>
      </w:r>
      <w:r>
        <w:rPr>
          <w:vertAlign w:val="superscript"/>
        </w:rPr>
        <w:t>15</w:t>
      </w:r>
      <w:r>
        <w:t xml:space="preserve">. Primeiramente, são geradas as formas </w:t>
      </w:r>
      <w:proofErr w:type="spellStart"/>
      <w:r>
        <w:t>promastigotas</w:t>
      </w:r>
      <w:proofErr w:type="spellEnd"/>
      <w:r>
        <w:t xml:space="preserve"> </w:t>
      </w:r>
      <w:proofErr w:type="spellStart"/>
      <w:r>
        <w:t>procíclicas</w:t>
      </w:r>
      <w:proofErr w:type="spellEnd"/>
      <w:r>
        <w:t xml:space="preserve">, ainda no trato intestinal. Depois, elas avançam à </w:t>
      </w:r>
      <w:proofErr w:type="spellStart"/>
      <w:r>
        <w:t>probóscide</w:t>
      </w:r>
      <w:proofErr w:type="spellEnd"/>
      <w:r>
        <w:t xml:space="preserve"> do vetor, onde sofrem outro processo de maturação, transformando-se em </w:t>
      </w:r>
      <w:proofErr w:type="spellStart"/>
      <w:r>
        <w:t>promastigotas</w:t>
      </w:r>
      <w:proofErr w:type="spellEnd"/>
      <w:r>
        <w:t xml:space="preserve"> </w:t>
      </w:r>
      <w:proofErr w:type="spellStart"/>
      <w:r>
        <w:t>metacíclicos</w:t>
      </w:r>
      <w:proofErr w:type="spellEnd"/>
      <w:r>
        <w:t xml:space="preserve"> e, assim, reiniciando o ciclo de transmissão</w:t>
      </w:r>
      <w:r>
        <w:rPr>
          <w:vertAlign w:val="superscript"/>
        </w:rPr>
        <w:t>16</w:t>
      </w:r>
      <w:r>
        <w:t xml:space="preserve">. </w:t>
      </w:r>
    </w:p>
    <w:p w:rsidR="00BE1A68" w:rsidRDefault="00454288">
      <w:pPr>
        <w:spacing w:after="230" w:line="259" w:lineRule="auto"/>
        <w:ind w:left="0" w:firstLine="0"/>
        <w:jc w:val="left"/>
      </w:pPr>
      <w:r>
        <w:rPr>
          <w:rFonts w:ascii="Calibri" w:eastAsia="Calibri" w:hAnsi="Calibri" w:cs="Calibri"/>
          <w:noProof/>
          <w:sz w:val="22"/>
        </w:rPr>
        <mc:AlternateContent>
          <mc:Choice Requires="wpg">
            <w:drawing>
              <wp:inline distT="0" distB="0" distL="0" distR="0">
                <wp:extent cx="5457139" cy="2885339"/>
                <wp:effectExtent l="0" t="0" r="0" b="0"/>
                <wp:docPr id="27809" name="Group 27809"/>
                <wp:cNvGraphicFramePr/>
                <a:graphic xmlns:a="http://schemas.openxmlformats.org/drawingml/2006/main">
                  <a:graphicData uri="http://schemas.microsoft.com/office/word/2010/wordprocessingGroup">
                    <wpg:wgp>
                      <wpg:cNvGrpSpPr/>
                      <wpg:grpSpPr>
                        <a:xfrm>
                          <a:off x="0" y="0"/>
                          <a:ext cx="5457139" cy="2885339"/>
                          <a:chOff x="0" y="0"/>
                          <a:chExt cx="5457139" cy="2885339"/>
                        </a:xfrm>
                      </wpg:grpSpPr>
                      <wps:wsp>
                        <wps:cNvPr id="1711" name="Rectangle 1711"/>
                        <wps:cNvSpPr/>
                        <wps:spPr>
                          <a:xfrm>
                            <a:off x="0" y="114909"/>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2" name="Rectangle 1712"/>
                        <wps:cNvSpPr/>
                        <wps:spPr>
                          <a:xfrm>
                            <a:off x="0" y="479146"/>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3" name="Rectangle 1713"/>
                        <wps:cNvSpPr/>
                        <wps:spPr>
                          <a:xfrm>
                            <a:off x="0" y="843382"/>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4" name="Rectangle 1714"/>
                        <wps:cNvSpPr/>
                        <wps:spPr>
                          <a:xfrm>
                            <a:off x="1769694" y="1207872"/>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5" name="Rectangle 1715"/>
                        <wps:cNvSpPr/>
                        <wps:spPr>
                          <a:xfrm>
                            <a:off x="0" y="1573632"/>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6" name="Rectangle 1716"/>
                        <wps:cNvSpPr/>
                        <wps:spPr>
                          <a:xfrm>
                            <a:off x="0" y="1937868"/>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7" name="Rectangle 1717"/>
                        <wps:cNvSpPr/>
                        <wps:spPr>
                          <a:xfrm>
                            <a:off x="0" y="2302104"/>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18" name="Rectangle 1718"/>
                        <wps:cNvSpPr/>
                        <wps:spPr>
                          <a:xfrm>
                            <a:off x="0" y="2666340"/>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64" name="Picture 1764"/>
                          <pic:cNvPicPr/>
                        </pic:nvPicPr>
                        <pic:blipFill>
                          <a:blip r:embed="rId11"/>
                          <a:stretch>
                            <a:fillRect/>
                          </a:stretch>
                        </pic:blipFill>
                        <pic:spPr>
                          <a:xfrm>
                            <a:off x="353644" y="640461"/>
                            <a:ext cx="847725" cy="621030"/>
                          </a:xfrm>
                          <a:prstGeom prst="rect">
                            <a:avLst/>
                          </a:prstGeom>
                        </pic:spPr>
                      </pic:pic>
                      <pic:pic xmlns:pic="http://schemas.openxmlformats.org/drawingml/2006/picture">
                        <pic:nvPicPr>
                          <pic:cNvPr id="1766" name="Picture 1766"/>
                          <pic:cNvPicPr/>
                        </pic:nvPicPr>
                        <pic:blipFill>
                          <a:blip r:embed="rId12"/>
                          <a:stretch>
                            <a:fillRect/>
                          </a:stretch>
                        </pic:blipFill>
                        <pic:spPr>
                          <a:xfrm>
                            <a:off x="2484704" y="921131"/>
                            <a:ext cx="752475" cy="752475"/>
                          </a:xfrm>
                          <a:prstGeom prst="rect">
                            <a:avLst/>
                          </a:prstGeom>
                        </pic:spPr>
                      </pic:pic>
                      <pic:pic xmlns:pic="http://schemas.openxmlformats.org/drawingml/2006/picture">
                        <pic:nvPicPr>
                          <pic:cNvPr id="1768" name="Picture 1768"/>
                          <pic:cNvPicPr/>
                        </pic:nvPicPr>
                        <pic:blipFill>
                          <a:blip r:embed="rId13"/>
                          <a:stretch>
                            <a:fillRect/>
                          </a:stretch>
                        </pic:blipFill>
                        <pic:spPr>
                          <a:xfrm>
                            <a:off x="3061919" y="0"/>
                            <a:ext cx="594995" cy="1740535"/>
                          </a:xfrm>
                          <a:prstGeom prst="rect">
                            <a:avLst/>
                          </a:prstGeom>
                        </pic:spPr>
                      </pic:pic>
                      <wps:wsp>
                        <wps:cNvPr id="1769" name="Shape 1769"/>
                        <wps:cNvSpPr/>
                        <wps:spPr>
                          <a:xfrm>
                            <a:off x="1500454" y="709676"/>
                            <a:ext cx="1257300" cy="189865"/>
                          </a:xfrm>
                          <a:custGeom>
                            <a:avLst/>
                            <a:gdLst/>
                            <a:ahLst/>
                            <a:cxnLst/>
                            <a:rect l="0" t="0" r="0" b="0"/>
                            <a:pathLst>
                              <a:path w="1257300" h="189865">
                                <a:moveTo>
                                  <a:pt x="1087374" y="0"/>
                                </a:moveTo>
                                <a:lnTo>
                                  <a:pt x="1257300" y="94996"/>
                                </a:lnTo>
                                <a:lnTo>
                                  <a:pt x="1087374" y="189865"/>
                                </a:lnTo>
                                <a:lnTo>
                                  <a:pt x="1087374" y="130556"/>
                                </a:lnTo>
                                <a:lnTo>
                                  <a:pt x="0" y="130556"/>
                                </a:lnTo>
                                <a:lnTo>
                                  <a:pt x="0" y="59309"/>
                                </a:lnTo>
                                <a:lnTo>
                                  <a:pt x="1087374" y="59309"/>
                                </a:lnTo>
                                <a:lnTo>
                                  <a:pt x="10873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 name="Shape 1770"/>
                        <wps:cNvSpPr/>
                        <wps:spPr>
                          <a:xfrm>
                            <a:off x="1500454" y="709676"/>
                            <a:ext cx="1257300" cy="189865"/>
                          </a:xfrm>
                          <a:custGeom>
                            <a:avLst/>
                            <a:gdLst/>
                            <a:ahLst/>
                            <a:cxnLst/>
                            <a:rect l="0" t="0" r="0" b="0"/>
                            <a:pathLst>
                              <a:path w="1257300" h="189865">
                                <a:moveTo>
                                  <a:pt x="0" y="59309"/>
                                </a:moveTo>
                                <a:lnTo>
                                  <a:pt x="1087374" y="59309"/>
                                </a:lnTo>
                                <a:lnTo>
                                  <a:pt x="1087374" y="0"/>
                                </a:lnTo>
                                <a:lnTo>
                                  <a:pt x="1257300" y="94996"/>
                                </a:lnTo>
                                <a:lnTo>
                                  <a:pt x="1087374" y="189865"/>
                                </a:lnTo>
                                <a:lnTo>
                                  <a:pt x="1087374" y="130556"/>
                                </a:lnTo>
                                <a:lnTo>
                                  <a:pt x="0" y="130556"/>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71" name="Rectangle 1771"/>
                        <wps:cNvSpPr/>
                        <wps:spPr>
                          <a:xfrm>
                            <a:off x="2448128" y="1716888"/>
                            <a:ext cx="326569" cy="224380"/>
                          </a:xfrm>
                          <a:prstGeom prst="rect">
                            <a:avLst/>
                          </a:prstGeom>
                          <a:ln>
                            <a:noFill/>
                          </a:ln>
                        </wps:spPr>
                        <wps:txbx>
                          <w:txbxContent>
                            <w:p w:rsidR="00BE1A68" w:rsidRDefault="00454288">
                              <w:pPr>
                                <w:spacing w:after="160" w:line="259" w:lineRule="auto"/>
                                <w:ind w:left="0" w:firstLine="0"/>
                                <w:jc w:val="left"/>
                              </w:pPr>
                              <w:proofErr w:type="spellStart"/>
                              <w:r>
                                <w:t>Hos</w:t>
                              </w:r>
                              <w:proofErr w:type="spellEnd"/>
                            </w:p>
                          </w:txbxContent>
                        </wps:txbx>
                        <wps:bodyPr horzOverflow="overflow" vert="horz" lIns="0" tIns="0" rIns="0" bIns="0" rtlCol="0">
                          <a:noAutofit/>
                        </wps:bodyPr>
                      </wps:wsp>
                      <wps:wsp>
                        <wps:cNvPr id="1772" name="Rectangle 1772"/>
                        <wps:cNvSpPr/>
                        <wps:spPr>
                          <a:xfrm>
                            <a:off x="2693492" y="1716888"/>
                            <a:ext cx="101346" cy="224380"/>
                          </a:xfrm>
                          <a:prstGeom prst="rect">
                            <a:avLst/>
                          </a:prstGeom>
                          <a:ln>
                            <a:noFill/>
                          </a:ln>
                        </wps:spPr>
                        <wps:txbx>
                          <w:txbxContent>
                            <w:p w:rsidR="00BE1A68" w:rsidRDefault="00454288">
                              <w:pPr>
                                <w:spacing w:after="160" w:line="259" w:lineRule="auto"/>
                                <w:ind w:left="0" w:firstLine="0"/>
                                <w:jc w:val="left"/>
                              </w:pPr>
                              <w:r>
                                <w:t>p</w:t>
                              </w:r>
                            </w:p>
                          </w:txbxContent>
                        </wps:txbx>
                        <wps:bodyPr horzOverflow="overflow" vert="horz" lIns="0" tIns="0" rIns="0" bIns="0" rtlCol="0">
                          <a:noAutofit/>
                        </wps:bodyPr>
                      </wps:wsp>
                      <wps:wsp>
                        <wps:cNvPr id="1773" name="Rectangle 1773"/>
                        <wps:cNvSpPr/>
                        <wps:spPr>
                          <a:xfrm>
                            <a:off x="2769692" y="1716888"/>
                            <a:ext cx="504906" cy="224380"/>
                          </a:xfrm>
                          <a:prstGeom prst="rect">
                            <a:avLst/>
                          </a:prstGeom>
                          <a:ln>
                            <a:noFill/>
                          </a:ln>
                        </wps:spPr>
                        <wps:txbx>
                          <w:txbxContent>
                            <w:p w:rsidR="00BE1A68" w:rsidRDefault="00454288">
                              <w:pPr>
                                <w:spacing w:after="160" w:line="259" w:lineRule="auto"/>
                                <w:ind w:left="0" w:firstLine="0"/>
                                <w:jc w:val="left"/>
                              </w:pPr>
                              <w:proofErr w:type="spellStart"/>
                              <w:r>
                                <w:t>edeiro</w:t>
                              </w:r>
                              <w:proofErr w:type="spellEnd"/>
                            </w:p>
                          </w:txbxContent>
                        </wps:txbx>
                        <wps:bodyPr horzOverflow="overflow" vert="horz" lIns="0" tIns="0" rIns="0" bIns="0" rtlCol="0">
                          <a:noAutofit/>
                        </wps:bodyPr>
                      </wps:wsp>
                      <wps:wsp>
                        <wps:cNvPr id="1774" name="Rectangle 1774"/>
                        <wps:cNvSpPr/>
                        <wps:spPr>
                          <a:xfrm>
                            <a:off x="3149168" y="1716888"/>
                            <a:ext cx="1091902" cy="224380"/>
                          </a:xfrm>
                          <a:prstGeom prst="rect">
                            <a:avLst/>
                          </a:prstGeom>
                          <a:ln>
                            <a:noFill/>
                          </a:ln>
                        </wps:spPr>
                        <wps:txbx>
                          <w:txbxContent>
                            <w:p w:rsidR="00BE1A68" w:rsidRDefault="00454288">
                              <w:pPr>
                                <w:spacing w:after="160" w:line="259" w:lineRule="auto"/>
                                <w:ind w:left="0" w:firstLine="0"/>
                                <w:jc w:val="left"/>
                              </w:pPr>
                              <w:r>
                                <w:t>/Reservatório</w:t>
                              </w:r>
                            </w:p>
                          </w:txbxContent>
                        </wps:txbx>
                        <wps:bodyPr horzOverflow="overflow" vert="horz" lIns="0" tIns="0" rIns="0" bIns="0" rtlCol="0">
                          <a:noAutofit/>
                        </wps:bodyPr>
                      </wps:wsp>
                      <wps:wsp>
                        <wps:cNvPr id="1775" name="Rectangle 1775"/>
                        <wps:cNvSpPr/>
                        <wps:spPr>
                          <a:xfrm>
                            <a:off x="3972509" y="1716888"/>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76" name="Rectangle 1776"/>
                        <wps:cNvSpPr/>
                        <wps:spPr>
                          <a:xfrm>
                            <a:off x="108204" y="1221588"/>
                            <a:ext cx="1929222" cy="224380"/>
                          </a:xfrm>
                          <a:prstGeom prst="rect">
                            <a:avLst/>
                          </a:prstGeom>
                          <a:ln>
                            <a:noFill/>
                          </a:ln>
                        </wps:spPr>
                        <wps:txbx>
                          <w:txbxContent>
                            <w:p w:rsidR="00BE1A68" w:rsidRDefault="00454288">
                              <w:pPr>
                                <w:spacing w:after="160" w:line="259" w:lineRule="auto"/>
                                <w:ind w:left="0" w:firstLine="0"/>
                                <w:jc w:val="left"/>
                              </w:pPr>
                              <w:proofErr w:type="spellStart"/>
                              <w:r>
                                <w:t>Flebotomíneo</w:t>
                              </w:r>
                              <w:proofErr w:type="spellEnd"/>
                              <w:r>
                                <w:t xml:space="preserve"> infectado</w:t>
                              </w:r>
                            </w:p>
                          </w:txbxContent>
                        </wps:txbx>
                        <wps:bodyPr horzOverflow="overflow" vert="horz" lIns="0" tIns="0" rIns="0" bIns="0" rtlCol="0">
                          <a:noAutofit/>
                        </wps:bodyPr>
                      </wps:wsp>
                      <wps:wsp>
                        <wps:cNvPr id="1777" name="Rectangle 1777"/>
                        <wps:cNvSpPr/>
                        <wps:spPr>
                          <a:xfrm>
                            <a:off x="1560906" y="1221588"/>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79" name="Picture 1779"/>
                          <pic:cNvPicPr/>
                        </pic:nvPicPr>
                        <pic:blipFill>
                          <a:blip r:embed="rId11"/>
                          <a:stretch>
                            <a:fillRect/>
                          </a:stretch>
                        </pic:blipFill>
                        <pic:spPr>
                          <a:xfrm>
                            <a:off x="1275664" y="1933194"/>
                            <a:ext cx="847725" cy="621030"/>
                          </a:xfrm>
                          <a:prstGeom prst="rect">
                            <a:avLst/>
                          </a:prstGeom>
                        </pic:spPr>
                      </pic:pic>
                      <wps:wsp>
                        <wps:cNvPr id="1781" name="Shape 1781"/>
                        <wps:cNvSpPr/>
                        <wps:spPr>
                          <a:xfrm>
                            <a:off x="1520520" y="992886"/>
                            <a:ext cx="750189" cy="502793"/>
                          </a:xfrm>
                          <a:custGeom>
                            <a:avLst/>
                            <a:gdLst/>
                            <a:ahLst/>
                            <a:cxnLst/>
                            <a:rect l="0" t="0" r="0" b="0"/>
                            <a:pathLst>
                              <a:path w="750189" h="502793">
                                <a:moveTo>
                                  <a:pt x="67437" y="0"/>
                                </a:moveTo>
                                <a:lnTo>
                                  <a:pt x="92202" y="48387"/>
                                </a:lnTo>
                                <a:cubicBezTo>
                                  <a:pt x="321691" y="7366"/>
                                  <a:pt x="568706" y="148082"/>
                                  <a:pt x="692785" y="390525"/>
                                </a:cubicBezTo>
                                <a:lnTo>
                                  <a:pt x="750189" y="502793"/>
                                </a:lnTo>
                                <a:cubicBezTo>
                                  <a:pt x="626110" y="260477"/>
                                  <a:pt x="379222" y="119761"/>
                                  <a:pt x="149733" y="160655"/>
                                </a:cubicBezTo>
                                <a:lnTo>
                                  <a:pt x="174498" y="209042"/>
                                </a:lnTo>
                                <a:lnTo>
                                  <a:pt x="0" y="145161"/>
                                </a:lnTo>
                                <a:lnTo>
                                  <a:pt x="67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 name="Shape 1783"/>
                        <wps:cNvSpPr/>
                        <wps:spPr>
                          <a:xfrm>
                            <a:off x="2036013" y="1440815"/>
                            <a:ext cx="379095" cy="816483"/>
                          </a:xfrm>
                          <a:custGeom>
                            <a:avLst/>
                            <a:gdLst/>
                            <a:ahLst/>
                            <a:cxnLst/>
                            <a:rect l="0" t="0" r="0" b="0"/>
                            <a:pathLst>
                              <a:path w="379095" h="816483">
                                <a:moveTo>
                                  <a:pt x="203454" y="0"/>
                                </a:moveTo>
                                <a:cubicBezTo>
                                  <a:pt x="379095" y="278511"/>
                                  <a:pt x="334391" y="631825"/>
                                  <a:pt x="103505" y="789178"/>
                                </a:cubicBezTo>
                                <a:cubicBezTo>
                                  <a:pt x="88773" y="799211"/>
                                  <a:pt x="73406" y="808355"/>
                                  <a:pt x="57531" y="816483"/>
                                </a:cubicBezTo>
                                <a:lnTo>
                                  <a:pt x="0" y="704088"/>
                                </a:lnTo>
                                <a:cubicBezTo>
                                  <a:pt x="229743" y="586486"/>
                                  <a:pt x="317627" y="282702"/>
                                  <a:pt x="2034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 name="Shape 1785"/>
                        <wps:cNvSpPr/>
                        <wps:spPr>
                          <a:xfrm>
                            <a:off x="1520520" y="992886"/>
                            <a:ext cx="900557" cy="1264412"/>
                          </a:xfrm>
                          <a:custGeom>
                            <a:avLst/>
                            <a:gdLst/>
                            <a:ahLst/>
                            <a:cxnLst/>
                            <a:rect l="0" t="0" r="0" b="0"/>
                            <a:pathLst>
                              <a:path w="900557" h="1264412">
                                <a:moveTo>
                                  <a:pt x="750189" y="502793"/>
                                </a:moveTo>
                                <a:cubicBezTo>
                                  <a:pt x="626110" y="260477"/>
                                  <a:pt x="379222" y="119761"/>
                                  <a:pt x="149733" y="160655"/>
                                </a:cubicBezTo>
                                <a:lnTo>
                                  <a:pt x="174498" y="209042"/>
                                </a:lnTo>
                                <a:lnTo>
                                  <a:pt x="0" y="145161"/>
                                </a:lnTo>
                                <a:lnTo>
                                  <a:pt x="67437" y="0"/>
                                </a:lnTo>
                                <a:lnTo>
                                  <a:pt x="92202" y="48387"/>
                                </a:lnTo>
                                <a:cubicBezTo>
                                  <a:pt x="321691" y="7366"/>
                                  <a:pt x="568706" y="148082"/>
                                  <a:pt x="692785" y="390525"/>
                                </a:cubicBezTo>
                                <a:lnTo>
                                  <a:pt x="750189" y="502793"/>
                                </a:lnTo>
                                <a:cubicBezTo>
                                  <a:pt x="900557" y="796417"/>
                                  <a:pt x="821182" y="1137412"/>
                                  <a:pt x="573024" y="1264412"/>
                                </a:cubicBezTo>
                                <a:lnTo>
                                  <a:pt x="515493" y="1152017"/>
                                </a:lnTo>
                                <a:cubicBezTo>
                                  <a:pt x="745236" y="1034415"/>
                                  <a:pt x="833120" y="730631"/>
                                  <a:pt x="718947" y="447929"/>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86" name="Rectangle 1786"/>
                        <wps:cNvSpPr/>
                        <wps:spPr>
                          <a:xfrm>
                            <a:off x="969213" y="2593188"/>
                            <a:ext cx="1124738" cy="224380"/>
                          </a:xfrm>
                          <a:prstGeom prst="rect">
                            <a:avLst/>
                          </a:prstGeom>
                          <a:ln>
                            <a:noFill/>
                          </a:ln>
                        </wps:spPr>
                        <wps:txbx>
                          <w:txbxContent>
                            <w:p w:rsidR="00BE1A68" w:rsidRDefault="00454288">
                              <w:pPr>
                                <w:spacing w:after="160" w:line="259" w:lineRule="auto"/>
                                <w:ind w:left="0" w:firstLine="0"/>
                                <w:jc w:val="left"/>
                              </w:pPr>
                              <w:proofErr w:type="spellStart"/>
                              <w:r>
                                <w:t>Flebotomíneo</w:t>
                              </w:r>
                              <w:proofErr w:type="spellEnd"/>
                            </w:p>
                          </w:txbxContent>
                        </wps:txbx>
                        <wps:bodyPr horzOverflow="overflow" vert="horz" lIns="0" tIns="0" rIns="0" bIns="0" rtlCol="0">
                          <a:noAutofit/>
                        </wps:bodyPr>
                      </wps:wsp>
                      <wps:wsp>
                        <wps:cNvPr id="1787" name="Rectangle 1787"/>
                        <wps:cNvSpPr/>
                        <wps:spPr>
                          <a:xfrm>
                            <a:off x="1815414" y="2593188"/>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88" name="Rectangle 1788"/>
                        <wps:cNvSpPr/>
                        <wps:spPr>
                          <a:xfrm>
                            <a:off x="1853514" y="2593188"/>
                            <a:ext cx="1098185" cy="224380"/>
                          </a:xfrm>
                          <a:prstGeom prst="rect">
                            <a:avLst/>
                          </a:prstGeom>
                          <a:ln>
                            <a:noFill/>
                          </a:ln>
                        </wps:spPr>
                        <wps:txbx>
                          <w:txbxContent>
                            <w:p w:rsidR="00BE1A68" w:rsidRDefault="00454288">
                              <w:pPr>
                                <w:spacing w:after="160" w:line="259" w:lineRule="auto"/>
                                <w:ind w:left="0" w:firstLine="0"/>
                                <w:jc w:val="left"/>
                              </w:pPr>
                              <w:r>
                                <w:t>não infectado</w:t>
                              </w:r>
                            </w:p>
                          </w:txbxContent>
                        </wps:txbx>
                        <wps:bodyPr horzOverflow="overflow" vert="horz" lIns="0" tIns="0" rIns="0" bIns="0" rtlCol="0">
                          <a:noAutofit/>
                        </wps:bodyPr>
                      </wps:wsp>
                      <wps:wsp>
                        <wps:cNvPr id="1789" name="Rectangle 1789"/>
                        <wps:cNvSpPr/>
                        <wps:spPr>
                          <a:xfrm>
                            <a:off x="2679776" y="2593188"/>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s:wsp>
                        <wps:cNvPr id="1791" name="Shape 1791"/>
                        <wps:cNvSpPr/>
                        <wps:spPr>
                          <a:xfrm>
                            <a:off x="3094304" y="2010156"/>
                            <a:ext cx="1071880" cy="415925"/>
                          </a:xfrm>
                          <a:custGeom>
                            <a:avLst/>
                            <a:gdLst/>
                            <a:ahLst/>
                            <a:cxnLst/>
                            <a:rect l="0" t="0" r="0" b="0"/>
                            <a:pathLst>
                              <a:path w="1071880" h="415925">
                                <a:moveTo>
                                  <a:pt x="0" y="0"/>
                                </a:moveTo>
                                <a:lnTo>
                                  <a:pt x="84963" y="0"/>
                                </a:lnTo>
                                <a:lnTo>
                                  <a:pt x="84963" y="269367"/>
                                </a:lnTo>
                                <a:lnTo>
                                  <a:pt x="886968" y="269367"/>
                                </a:lnTo>
                                <a:lnTo>
                                  <a:pt x="886968" y="207899"/>
                                </a:lnTo>
                                <a:lnTo>
                                  <a:pt x="1071880" y="311912"/>
                                </a:lnTo>
                                <a:lnTo>
                                  <a:pt x="886968" y="415925"/>
                                </a:lnTo>
                                <a:lnTo>
                                  <a:pt x="886968" y="354330"/>
                                </a:lnTo>
                                <a:lnTo>
                                  <a:pt x="0" y="354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 name="Shape 1793"/>
                        <wps:cNvSpPr/>
                        <wps:spPr>
                          <a:xfrm>
                            <a:off x="3094304" y="2010156"/>
                            <a:ext cx="1071880" cy="415925"/>
                          </a:xfrm>
                          <a:custGeom>
                            <a:avLst/>
                            <a:gdLst/>
                            <a:ahLst/>
                            <a:cxnLst/>
                            <a:rect l="0" t="0" r="0" b="0"/>
                            <a:pathLst>
                              <a:path w="1071880" h="415925">
                                <a:moveTo>
                                  <a:pt x="84963" y="0"/>
                                </a:moveTo>
                                <a:lnTo>
                                  <a:pt x="84963" y="269367"/>
                                </a:lnTo>
                                <a:lnTo>
                                  <a:pt x="886968" y="269367"/>
                                </a:lnTo>
                                <a:lnTo>
                                  <a:pt x="886968" y="207899"/>
                                </a:lnTo>
                                <a:lnTo>
                                  <a:pt x="1071880" y="311912"/>
                                </a:lnTo>
                                <a:lnTo>
                                  <a:pt x="886968" y="415925"/>
                                </a:lnTo>
                                <a:lnTo>
                                  <a:pt x="886968" y="354330"/>
                                </a:lnTo>
                                <a:lnTo>
                                  <a:pt x="0" y="35433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95" name="Picture 1795"/>
                          <pic:cNvPicPr/>
                        </pic:nvPicPr>
                        <pic:blipFill>
                          <a:blip r:embed="rId14"/>
                          <a:stretch>
                            <a:fillRect/>
                          </a:stretch>
                        </pic:blipFill>
                        <pic:spPr>
                          <a:xfrm>
                            <a:off x="4328745" y="1853946"/>
                            <a:ext cx="775970" cy="779780"/>
                          </a:xfrm>
                          <a:prstGeom prst="rect">
                            <a:avLst/>
                          </a:prstGeom>
                        </pic:spPr>
                      </pic:pic>
                      <wps:wsp>
                        <wps:cNvPr id="1796" name="Rectangle 1796"/>
                        <wps:cNvSpPr/>
                        <wps:spPr>
                          <a:xfrm>
                            <a:off x="4085285" y="2716632"/>
                            <a:ext cx="1772105" cy="224380"/>
                          </a:xfrm>
                          <a:prstGeom prst="rect">
                            <a:avLst/>
                          </a:prstGeom>
                          <a:ln>
                            <a:noFill/>
                          </a:ln>
                        </wps:spPr>
                        <wps:txbx>
                          <w:txbxContent>
                            <w:p w:rsidR="00BE1A68" w:rsidRDefault="00454288">
                              <w:pPr>
                                <w:spacing w:after="160" w:line="259" w:lineRule="auto"/>
                                <w:ind w:left="0" w:firstLine="0"/>
                                <w:jc w:val="left"/>
                              </w:pPr>
                              <w:r>
                                <w:t xml:space="preserve">Úlcera </w:t>
                              </w:r>
                              <w:proofErr w:type="spellStart"/>
                              <w:r>
                                <w:t>leishmaniótica</w:t>
                              </w:r>
                              <w:proofErr w:type="spellEnd"/>
                            </w:p>
                          </w:txbxContent>
                        </wps:txbx>
                        <wps:bodyPr horzOverflow="overflow" vert="horz" lIns="0" tIns="0" rIns="0" bIns="0" rtlCol="0">
                          <a:noAutofit/>
                        </wps:bodyPr>
                      </wps:wsp>
                      <wps:wsp>
                        <wps:cNvPr id="1797" name="Rectangle 1797"/>
                        <wps:cNvSpPr/>
                        <wps:spPr>
                          <a:xfrm>
                            <a:off x="5419039" y="2716632"/>
                            <a:ext cx="50673" cy="224380"/>
                          </a:xfrm>
                          <a:prstGeom prst="rect">
                            <a:avLst/>
                          </a:prstGeom>
                          <a:ln>
                            <a:noFill/>
                          </a:ln>
                        </wps:spPr>
                        <wps:txbx>
                          <w:txbxContent>
                            <w:p w:rsidR="00BE1A68" w:rsidRDefault="0045428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09" style="width:429.696pt;height:227.192pt;mso-position-horizontal-relative:char;mso-position-vertical-relative:line" coordsize="54571,28853">
                <v:rect id="Rectangle 1711" style="position:absolute;width:506;height:2243;left:0;top:1149;" filled="f" stroked="f">
                  <v:textbox inset="0,0,0,0">
                    <w:txbxContent>
                      <w:p>
                        <w:pPr>
                          <w:spacing w:before="0" w:after="160" w:line="259" w:lineRule="auto"/>
                          <w:ind w:left="0" w:firstLine="0"/>
                          <w:jc w:val="left"/>
                        </w:pPr>
                        <w:r>
                          <w:rPr/>
                          <w:t xml:space="preserve"> </w:t>
                        </w:r>
                      </w:p>
                    </w:txbxContent>
                  </v:textbox>
                </v:rect>
                <v:rect id="Rectangle 1712" style="position:absolute;width:506;height:2243;left:0;top:4791;" filled="f" stroked="f">
                  <v:textbox inset="0,0,0,0">
                    <w:txbxContent>
                      <w:p>
                        <w:pPr>
                          <w:spacing w:before="0" w:after="160" w:line="259" w:lineRule="auto"/>
                          <w:ind w:left="0" w:firstLine="0"/>
                          <w:jc w:val="left"/>
                        </w:pPr>
                        <w:r>
                          <w:rPr/>
                          <w:t xml:space="preserve"> </w:t>
                        </w:r>
                      </w:p>
                    </w:txbxContent>
                  </v:textbox>
                </v:rect>
                <v:rect id="Rectangle 1713" style="position:absolute;width:506;height:2243;left:0;top:8433;" filled="f" stroked="f">
                  <v:textbox inset="0,0,0,0">
                    <w:txbxContent>
                      <w:p>
                        <w:pPr>
                          <w:spacing w:before="0" w:after="160" w:line="259" w:lineRule="auto"/>
                          <w:ind w:left="0" w:firstLine="0"/>
                          <w:jc w:val="left"/>
                        </w:pPr>
                        <w:r>
                          <w:rPr/>
                          <w:t xml:space="preserve"> </w:t>
                        </w:r>
                      </w:p>
                    </w:txbxContent>
                  </v:textbox>
                </v:rect>
                <v:rect id="Rectangle 1714" style="position:absolute;width:506;height:2243;left:17696;top:12078;" filled="f" stroked="f">
                  <v:textbox inset="0,0,0,0">
                    <w:txbxContent>
                      <w:p>
                        <w:pPr>
                          <w:spacing w:before="0" w:after="160" w:line="259" w:lineRule="auto"/>
                          <w:ind w:left="0" w:firstLine="0"/>
                          <w:jc w:val="left"/>
                        </w:pPr>
                        <w:r>
                          <w:rPr/>
                          <w:t xml:space="preserve"> </w:t>
                        </w:r>
                      </w:p>
                    </w:txbxContent>
                  </v:textbox>
                </v:rect>
                <v:rect id="Rectangle 1715" style="position:absolute;width:506;height:2243;left:0;top:15736;" filled="f" stroked="f">
                  <v:textbox inset="0,0,0,0">
                    <w:txbxContent>
                      <w:p>
                        <w:pPr>
                          <w:spacing w:before="0" w:after="160" w:line="259" w:lineRule="auto"/>
                          <w:ind w:left="0" w:firstLine="0"/>
                          <w:jc w:val="left"/>
                        </w:pPr>
                        <w:r>
                          <w:rPr/>
                          <w:t xml:space="preserve"> </w:t>
                        </w:r>
                      </w:p>
                    </w:txbxContent>
                  </v:textbox>
                </v:rect>
                <v:rect id="Rectangle 1716" style="position:absolute;width:506;height:2243;left:0;top:19378;" filled="f" stroked="f">
                  <v:textbox inset="0,0,0,0">
                    <w:txbxContent>
                      <w:p>
                        <w:pPr>
                          <w:spacing w:before="0" w:after="160" w:line="259" w:lineRule="auto"/>
                          <w:ind w:left="0" w:firstLine="0"/>
                          <w:jc w:val="left"/>
                        </w:pPr>
                        <w:r>
                          <w:rPr/>
                          <w:t xml:space="preserve"> </w:t>
                        </w:r>
                      </w:p>
                    </w:txbxContent>
                  </v:textbox>
                </v:rect>
                <v:rect id="Rectangle 1717" style="position:absolute;width:506;height:2243;left:0;top:23021;" filled="f" stroked="f">
                  <v:textbox inset="0,0,0,0">
                    <w:txbxContent>
                      <w:p>
                        <w:pPr>
                          <w:spacing w:before="0" w:after="160" w:line="259" w:lineRule="auto"/>
                          <w:ind w:left="0" w:firstLine="0"/>
                          <w:jc w:val="left"/>
                        </w:pPr>
                        <w:r>
                          <w:rPr/>
                          <w:t xml:space="preserve"> </w:t>
                        </w:r>
                      </w:p>
                    </w:txbxContent>
                  </v:textbox>
                </v:rect>
                <v:rect id="Rectangle 1718" style="position:absolute;width:506;height:2243;left:0;top:26663;" filled="f" stroked="f">
                  <v:textbox inset="0,0,0,0">
                    <w:txbxContent>
                      <w:p>
                        <w:pPr>
                          <w:spacing w:before="0" w:after="160" w:line="259" w:lineRule="auto"/>
                          <w:ind w:left="0" w:firstLine="0"/>
                          <w:jc w:val="left"/>
                        </w:pPr>
                        <w:r>
                          <w:rPr/>
                          <w:t xml:space="preserve"> </w:t>
                        </w:r>
                      </w:p>
                    </w:txbxContent>
                  </v:textbox>
                </v:rect>
                <v:shape id="Picture 1764" style="position:absolute;width:8477;height:6210;left:3536;top:6404;" filled="f">
                  <v:imagedata r:id="rId15"/>
                </v:shape>
                <v:shape id="Picture 1766" style="position:absolute;width:7524;height:7524;left:24847;top:9211;" filled="f">
                  <v:imagedata r:id="rId16"/>
                </v:shape>
                <v:shape id="Picture 1768" style="position:absolute;width:5949;height:17405;left:30619;top:0;" filled="f">
                  <v:imagedata r:id="rId17"/>
                </v:shape>
                <v:shape id="Shape 1769" style="position:absolute;width:12573;height:1898;left:15004;top:7096;" coordsize="1257300,189865" path="m1087374,0l1257300,94996l1087374,189865l1087374,130556l0,130556l0,59309l1087374,59309l1087374,0x">
                  <v:stroke weight="0pt" endcap="flat" joinstyle="miter" miterlimit="10" on="false" color="#000000" opacity="0"/>
                  <v:fill on="true" color="#000000"/>
                </v:shape>
                <v:shape id="Shape 1770" style="position:absolute;width:12573;height:1898;left:15004;top:7096;" coordsize="1257300,189865" path="m0,59309l1087374,59309l1087374,0l1257300,94996l1087374,189865l1087374,130556l0,130556x">
                  <v:stroke weight="1pt" endcap="flat" joinstyle="miter" miterlimit="10" on="true" color="#000000"/>
                  <v:fill on="false" color="#000000" opacity="0"/>
                </v:shape>
                <v:rect id="Rectangle 1771" style="position:absolute;width:3265;height:2243;left:24481;top:17168;" filled="f" stroked="f">
                  <v:textbox inset="0,0,0,0">
                    <w:txbxContent>
                      <w:p>
                        <w:pPr>
                          <w:spacing w:before="0" w:after="160" w:line="259" w:lineRule="auto"/>
                          <w:ind w:left="0" w:firstLine="0"/>
                          <w:jc w:val="left"/>
                        </w:pPr>
                        <w:r>
                          <w:rPr/>
                          <w:t xml:space="preserve">Hos</w:t>
                        </w:r>
                      </w:p>
                    </w:txbxContent>
                  </v:textbox>
                </v:rect>
                <v:rect id="Rectangle 1772" style="position:absolute;width:1013;height:2243;left:26934;top:17168;" filled="f" stroked="f">
                  <v:textbox inset="0,0,0,0">
                    <w:txbxContent>
                      <w:p>
                        <w:pPr>
                          <w:spacing w:before="0" w:after="160" w:line="259" w:lineRule="auto"/>
                          <w:ind w:left="0" w:firstLine="0"/>
                          <w:jc w:val="left"/>
                        </w:pPr>
                        <w:r>
                          <w:rPr/>
                          <w:t xml:space="preserve">p</w:t>
                        </w:r>
                      </w:p>
                    </w:txbxContent>
                  </v:textbox>
                </v:rect>
                <v:rect id="Rectangle 1773" style="position:absolute;width:5049;height:2243;left:27696;top:17168;" filled="f" stroked="f">
                  <v:textbox inset="0,0,0,0">
                    <w:txbxContent>
                      <w:p>
                        <w:pPr>
                          <w:spacing w:before="0" w:after="160" w:line="259" w:lineRule="auto"/>
                          <w:ind w:left="0" w:firstLine="0"/>
                          <w:jc w:val="left"/>
                        </w:pPr>
                        <w:r>
                          <w:rPr/>
                          <w:t xml:space="preserve">edeiro</w:t>
                        </w:r>
                      </w:p>
                    </w:txbxContent>
                  </v:textbox>
                </v:rect>
                <v:rect id="Rectangle 1774" style="position:absolute;width:10919;height:2243;left:31491;top:17168;" filled="f" stroked="f">
                  <v:textbox inset="0,0,0,0">
                    <w:txbxContent>
                      <w:p>
                        <w:pPr>
                          <w:spacing w:before="0" w:after="160" w:line="259" w:lineRule="auto"/>
                          <w:ind w:left="0" w:firstLine="0"/>
                          <w:jc w:val="left"/>
                        </w:pPr>
                        <w:r>
                          <w:rPr/>
                          <w:t xml:space="preserve">/Reservatório</w:t>
                        </w:r>
                      </w:p>
                    </w:txbxContent>
                  </v:textbox>
                </v:rect>
                <v:rect id="Rectangle 1775" style="position:absolute;width:506;height:2243;left:39725;top:17168;" filled="f" stroked="f">
                  <v:textbox inset="0,0,0,0">
                    <w:txbxContent>
                      <w:p>
                        <w:pPr>
                          <w:spacing w:before="0" w:after="160" w:line="259" w:lineRule="auto"/>
                          <w:ind w:left="0" w:firstLine="0"/>
                          <w:jc w:val="left"/>
                        </w:pPr>
                        <w:r>
                          <w:rPr/>
                          <w:t xml:space="preserve"> </w:t>
                        </w:r>
                      </w:p>
                    </w:txbxContent>
                  </v:textbox>
                </v:rect>
                <v:rect id="Rectangle 1776" style="position:absolute;width:19292;height:2243;left:1082;top:12215;" filled="f" stroked="f">
                  <v:textbox inset="0,0,0,0">
                    <w:txbxContent>
                      <w:p>
                        <w:pPr>
                          <w:spacing w:before="0" w:after="160" w:line="259" w:lineRule="auto"/>
                          <w:ind w:left="0" w:firstLine="0"/>
                          <w:jc w:val="left"/>
                        </w:pPr>
                        <w:r>
                          <w:rPr/>
                          <w:t xml:space="preserve">Flebotomíneo infectado</w:t>
                        </w:r>
                      </w:p>
                    </w:txbxContent>
                  </v:textbox>
                </v:rect>
                <v:rect id="Rectangle 1777" style="position:absolute;width:506;height:2243;left:15609;top:12215;" filled="f" stroked="f">
                  <v:textbox inset="0,0,0,0">
                    <w:txbxContent>
                      <w:p>
                        <w:pPr>
                          <w:spacing w:before="0" w:after="160" w:line="259" w:lineRule="auto"/>
                          <w:ind w:left="0" w:firstLine="0"/>
                          <w:jc w:val="left"/>
                        </w:pPr>
                        <w:r>
                          <w:rPr/>
                          <w:t xml:space="preserve"> </w:t>
                        </w:r>
                      </w:p>
                    </w:txbxContent>
                  </v:textbox>
                </v:rect>
                <v:shape id="Picture 1779" style="position:absolute;width:8477;height:6210;left:12756;top:19331;" filled="f">
                  <v:imagedata r:id="rId15"/>
                </v:shape>
                <v:shape id="Shape 1781" style="position:absolute;width:7501;height:5027;left:15205;top:9928;" coordsize="750189,502793" path="m67437,0l92202,48387c321691,7366,568706,148082,692785,390525l750189,502793c626110,260477,379222,119761,149733,160655l174498,209042l0,145161l67437,0x">
                  <v:stroke weight="0pt" endcap="flat" joinstyle="miter" miterlimit="10" on="false" color="#000000" opacity="0"/>
                  <v:fill on="true" color="#000000"/>
                </v:shape>
                <v:shape id="Shape 1783" style="position:absolute;width:3790;height:8164;left:20360;top:14408;" coordsize="379095,816483" path="m203454,0c379095,278511,334391,631825,103505,789178c88773,799211,73406,808355,57531,816483l0,704088c229743,586486,317627,282702,203454,0x">
                  <v:stroke weight="0pt" endcap="flat" joinstyle="miter" miterlimit="10" on="false" color="#000000" opacity="0"/>
                  <v:fill on="true" color="#000000"/>
                </v:shape>
                <v:shape id="Shape 1785" style="position:absolute;width:9005;height:12644;left:15205;top:9928;" coordsize="900557,1264412" path="m750189,502793c626110,260477,379222,119761,149733,160655l174498,209042l0,145161l67437,0l92202,48387c321691,7366,568706,148082,692785,390525l750189,502793c900557,796417,821182,1137412,573024,1264412l515493,1152017c745236,1034415,833120,730631,718947,447929">
                  <v:stroke weight="1pt" endcap="flat" joinstyle="miter" miterlimit="10" on="true" color="#000000"/>
                  <v:fill on="false" color="#000000" opacity="0"/>
                </v:shape>
                <v:rect id="Rectangle 1786" style="position:absolute;width:11247;height:2243;left:9692;top:25931;" filled="f" stroked="f">
                  <v:textbox inset="0,0,0,0">
                    <w:txbxContent>
                      <w:p>
                        <w:pPr>
                          <w:spacing w:before="0" w:after="160" w:line="259" w:lineRule="auto"/>
                          <w:ind w:left="0" w:firstLine="0"/>
                          <w:jc w:val="left"/>
                        </w:pPr>
                        <w:r>
                          <w:rPr/>
                          <w:t xml:space="preserve">Flebotomíneo</w:t>
                        </w:r>
                      </w:p>
                    </w:txbxContent>
                  </v:textbox>
                </v:rect>
                <v:rect id="Rectangle 1787" style="position:absolute;width:506;height:2243;left:18154;top:25931;" filled="f" stroked="f">
                  <v:textbox inset="0,0,0,0">
                    <w:txbxContent>
                      <w:p>
                        <w:pPr>
                          <w:spacing w:before="0" w:after="160" w:line="259" w:lineRule="auto"/>
                          <w:ind w:left="0" w:firstLine="0"/>
                          <w:jc w:val="left"/>
                        </w:pPr>
                        <w:r>
                          <w:rPr/>
                          <w:t xml:space="preserve"> </w:t>
                        </w:r>
                      </w:p>
                    </w:txbxContent>
                  </v:textbox>
                </v:rect>
                <v:rect id="Rectangle 1788" style="position:absolute;width:10981;height:2243;left:18535;top:25931;" filled="f" stroked="f">
                  <v:textbox inset="0,0,0,0">
                    <w:txbxContent>
                      <w:p>
                        <w:pPr>
                          <w:spacing w:before="0" w:after="160" w:line="259" w:lineRule="auto"/>
                          <w:ind w:left="0" w:firstLine="0"/>
                          <w:jc w:val="left"/>
                        </w:pPr>
                        <w:r>
                          <w:rPr/>
                          <w:t xml:space="preserve">não infectado</w:t>
                        </w:r>
                      </w:p>
                    </w:txbxContent>
                  </v:textbox>
                </v:rect>
                <v:rect id="Rectangle 1789" style="position:absolute;width:506;height:2243;left:26797;top:25931;" filled="f" stroked="f">
                  <v:textbox inset="0,0,0,0">
                    <w:txbxContent>
                      <w:p>
                        <w:pPr>
                          <w:spacing w:before="0" w:after="160" w:line="259" w:lineRule="auto"/>
                          <w:ind w:left="0" w:firstLine="0"/>
                          <w:jc w:val="left"/>
                        </w:pPr>
                        <w:r>
                          <w:rPr/>
                          <w:t xml:space="preserve"> </w:t>
                        </w:r>
                      </w:p>
                    </w:txbxContent>
                  </v:textbox>
                </v:rect>
                <v:shape id="Shape 1791" style="position:absolute;width:10718;height:4159;left:30943;top:20101;" coordsize="1071880,415925" path="m0,0l84963,0l84963,269367l886968,269367l886968,207899l1071880,311912l886968,415925l886968,354330l0,354330l0,0x">
                  <v:stroke weight="0pt" endcap="flat" joinstyle="miter" miterlimit="10" on="false" color="#000000" opacity="0"/>
                  <v:fill on="true" color="#000000"/>
                </v:shape>
                <v:shape id="Shape 1793" style="position:absolute;width:10718;height:4159;left:30943;top:20101;" coordsize="1071880,415925" path="m84963,0l84963,269367l886968,269367l886968,207899l1071880,311912l886968,415925l886968,354330l0,354330l0,0x">
                  <v:stroke weight="1pt" endcap="flat" joinstyle="miter" miterlimit="10" on="true" color="#000000"/>
                  <v:fill on="false" color="#000000" opacity="0"/>
                </v:shape>
                <v:shape id="Picture 1795" style="position:absolute;width:7759;height:7797;left:43287;top:18539;" filled="f">
                  <v:imagedata r:id="rId18"/>
                </v:shape>
                <v:rect id="Rectangle 1796" style="position:absolute;width:17721;height:2243;left:40852;top:27166;" filled="f" stroked="f">
                  <v:textbox inset="0,0,0,0">
                    <w:txbxContent>
                      <w:p>
                        <w:pPr>
                          <w:spacing w:before="0" w:after="160" w:line="259" w:lineRule="auto"/>
                          <w:ind w:left="0" w:firstLine="0"/>
                          <w:jc w:val="left"/>
                        </w:pPr>
                        <w:r>
                          <w:rPr/>
                          <w:t xml:space="preserve">Úlcera leishmaniótica</w:t>
                        </w:r>
                      </w:p>
                    </w:txbxContent>
                  </v:textbox>
                </v:rect>
                <v:rect id="Rectangle 1797" style="position:absolute;width:506;height:2243;left:54190;top:27166;" filled="f" stroked="f">
                  <v:textbox inset="0,0,0,0">
                    <w:txbxContent>
                      <w:p>
                        <w:pPr>
                          <w:spacing w:before="0" w:after="160" w:line="259" w:lineRule="auto"/>
                          <w:ind w:left="0" w:firstLine="0"/>
                          <w:jc w:val="left"/>
                        </w:pPr>
                        <w:r>
                          <w:rPr/>
                          <w:t xml:space="preserve"> </w:t>
                        </w:r>
                      </w:p>
                    </w:txbxContent>
                  </v:textbox>
                </v:rect>
              </v:group>
            </w:pict>
          </mc:Fallback>
        </mc:AlternateContent>
      </w:r>
    </w:p>
    <w:p w:rsidR="00BE1A68" w:rsidRDefault="00454288">
      <w:pPr>
        <w:spacing w:after="194" w:line="359" w:lineRule="auto"/>
        <w:ind w:left="-5" w:right="332"/>
      </w:pPr>
      <w:r>
        <w:rPr>
          <w:sz w:val="20"/>
        </w:rPr>
        <w:t xml:space="preserve">Figura 1: </w:t>
      </w:r>
      <w:r>
        <w:rPr>
          <w:b/>
          <w:sz w:val="20"/>
        </w:rPr>
        <w:t>Ciclo de transmissão da LC</w:t>
      </w:r>
      <w:r>
        <w:rPr>
          <w:sz w:val="20"/>
        </w:rPr>
        <w:t xml:space="preserve">. Os flebótomos fêmeas infectados </w:t>
      </w:r>
      <w:proofErr w:type="spellStart"/>
      <w:r>
        <w:rPr>
          <w:sz w:val="20"/>
        </w:rPr>
        <w:t>transmitem</w:t>
      </w:r>
      <w:proofErr w:type="spellEnd"/>
      <w:r>
        <w:rPr>
          <w:sz w:val="20"/>
        </w:rPr>
        <w:t xml:space="preserve"> a doença para hospedeiros mamíferos saudáveis, que passam a estar infectados e, consequentemente, a contaminar outros </w:t>
      </w:r>
      <w:proofErr w:type="spellStart"/>
      <w:r>
        <w:rPr>
          <w:sz w:val="20"/>
        </w:rPr>
        <w:t>flebotomíneos</w:t>
      </w:r>
      <w:proofErr w:type="spellEnd"/>
      <w:r>
        <w:rPr>
          <w:sz w:val="20"/>
        </w:rPr>
        <w:t>. Vertebrados infectados desenvolvem uma lesão ulcerad</w:t>
      </w:r>
      <w:r>
        <w:rPr>
          <w:sz w:val="20"/>
        </w:rPr>
        <w:t xml:space="preserve">a no local da picada. </w:t>
      </w:r>
    </w:p>
    <w:p w:rsidR="00BE1A68" w:rsidRDefault="00454288">
      <w:pPr>
        <w:spacing w:after="277" w:line="259" w:lineRule="auto"/>
        <w:ind w:left="0" w:firstLine="0"/>
        <w:jc w:val="left"/>
      </w:pPr>
      <w:r>
        <w:t xml:space="preserve"> </w:t>
      </w:r>
    </w:p>
    <w:p w:rsidR="00BE1A68" w:rsidRDefault="00454288">
      <w:pPr>
        <w:pStyle w:val="Ttulo2"/>
        <w:spacing w:after="273" w:line="259" w:lineRule="auto"/>
        <w:ind w:left="766" w:right="339" w:hanging="406"/>
      </w:pPr>
      <w:bookmarkStart w:id="8" w:name="_Toc32352"/>
      <w:r>
        <w:t xml:space="preserve">MANIFESTAÇÕES CLÍNICAS E MÉTODOS DIAGNÓSTICOS </w:t>
      </w:r>
      <w:bookmarkEnd w:id="8"/>
    </w:p>
    <w:p w:rsidR="00BE1A68" w:rsidRDefault="00454288">
      <w:pPr>
        <w:ind w:left="-15" w:right="339" w:firstLine="708"/>
      </w:pPr>
      <w:r>
        <w:t xml:space="preserve">A LC manifesta-se geralmente como uma lesão ulcerada, com bordas </w:t>
      </w:r>
      <w:proofErr w:type="spellStart"/>
      <w:r>
        <w:t>bemdelimitadas</w:t>
      </w:r>
      <w:proofErr w:type="spellEnd"/>
      <w:r>
        <w:t xml:space="preserve"> e elevadas, indolor e única. No entanto, considera-se que são portadores de LC pacientes com até 20 lesõ</w:t>
      </w:r>
      <w:r>
        <w:t>es ulceradas, visto que uma pessoa pode ter sido picada mais de uma vez por um vetor infectado</w:t>
      </w:r>
      <w:r>
        <w:rPr>
          <w:vertAlign w:val="superscript"/>
        </w:rPr>
        <w:t>10</w:t>
      </w:r>
      <w:r>
        <w:t xml:space="preserve">. No entanto, manifestações clínicas com 21 </w:t>
      </w:r>
      <w:r>
        <w:lastRenderedPageBreak/>
        <w:t xml:space="preserve">lesões </w:t>
      </w:r>
      <w:proofErr w:type="spellStart"/>
      <w:r>
        <w:t>papuliformes</w:t>
      </w:r>
      <w:proofErr w:type="spellEnd"/>
      <w:r>
        <w:t xml:space="preserve"> ou mais são sugestivas de leishmaniose disseminada (LD), forma clínica mais grave do que a LC. </w:t>
      </w:r>
    </w:p>
    <w:p w:rsidR="00BE1A68" w:rsidRDefault="00454288">
      <w:pPr>
        <w:spacing w:after="212"/>
        <w:ind w:left="-15" w:right="339" w:firstLine="708"/>
      </w:pPr>
      <w:r>
        <w:t>De início, forma-se, no local da picada do vetor, uma pápula que evolui ao longo de semanas a meses para um nódulo, que ulcera lentamente durante alguns meses</w:t>
      </w:r>
      <w:r>
        <w:rPr>
          <w:vertAlign w:val="superscript"/>
        </w:rPr>
        <w:t>10</w:t>
      </w:r>
      <w:r>
        <w:t>. Em alguns casos, o nódulo não ulcera, podendo evoluir com hiperqueratose</w:t>
      </w:r>
      <w:r>
        <w:rPr>
          <w:vertAlign w:val="superscript"/>
        </w:rPr>
        <w:t>11</w:t>
      </w:r>
      <w:r>
        <w:t>. Pode haver prurido</w:t>
      </w:r>
      <w:r>
        <w:t xml:space="preserve"> em qualquer estágio, porém as lesões são indolores. A </w:t>
      </w:r>
      <w:proofErr w:type="spellStart"/>
      <w:r>
        <w:t>reepitelização</w:t>
      </w:r>
      <w:proofErr w:type="spellEnd"/>
      <w:r>
        <w:t xml:space="preserve"> das lesões faz parte da história natural da LC e ocorre entre 3 e 18 meses, porém sua velocidade varia de acordo com a espécie de parasito</w:t>
      </w:r>
      <w:r>
        <w:rPr>
          <w:vertAlign w:val="superscript"/>
        </w:rPr>
        <w:t>11, 18</w:t>
      </w:r>
      <w:r>
        <w:t xml:space="preserve">. </w:t>
      </w:r>
    </w:p>
    <w:p w:rsidR="00BE1A68" w:rsidRDefault="00454288">
      <w:pPr>
        <w:ind w:left="-15" w:right="339" w:firstLine="708"/>
      </w:pPr>
      <w:r>
        <w:t>O diagnóstico da LC é feito associando-</w:t>
      </w:r>
      <w:r>
        <w:t>se os achados clínicos compatíveis com a doença aos métodos de diagnóstico laboratorial. O exame mais comumente utilizado para a confirmação de LC é o parasitológico direto</w:t>
      </w:r>
      <w:r>
        <w:rPr>
          <w:vertAlign w:val="superscript"/>
        </w:rPr>
        <w:t>12</w:t>
      </w:r>
      <w:r>
        <w:t>, em que se observam amastigotas à microscopia óptica em biópsias de úlceras. Outr</w:t>
      </w:r>
      <w:r>
        <w:t>os métodos incluem sorologia, cultura parasitária e reação da polimerase em cadeia (PCR)</w:t>
      </w:r>
      <w:r>
        <w:rPr>
          <w:vertAlign w:val="superscript"/>
        </w:rPr>
        <w:t>13</w:t>
      </w:r>
      <w:r>
        <w:t xml:space="preserve">, um método altamente sensível e geralmente empregado quando não se consegue visualizar as amastigotas à </w:t>
      </w:r>
      <w:proofErr w:type="spellStart"/>
      <w:r>
        <w:t>histopatologia</w:t>
      </w:r>
      <w:proofErr w:type="spellEnd"/>
      <w:r>
        <w:t xml:space="preserve">. </w:t>
      </w:r>
    </w:p>
    <w:p w:rsidR="00BE1A68" w:rsidRDefault="00454288">
      <w:pPr>
        <w:spacing w:after="279" w:line="259" w:lineRule="auto"/>
        <w:ind w:left="708" w:firstLine="0"/>
        <w:jc w:val="left"/>
      </w:pPr>
      <w:r>
        <w:t xml:space="preserve"> </w:t>
      </w:r>
    </w:p>
    <w:p w:rsidR="00BE1A68" w:rsidRDefault="00454288">
      <w:pPr>
        <w:pStyle w:val="Ttulo2"/>
        <w:spacing w:after="273" w:line="259" w:lineRule="auto"/>
        <w:ind w:left="766" w:right="339" w:hanging="406"/>
      </w:pPr>
      <w:bookmarkStart w:id="9" w:name="_Toc32353"/>
      <w:r>
        <w:t xml:space="preserve">INTRADERMORREAÇÃO DE MONTENEGRO </w:t>
      </w:r>
      <w:bookmarkEnd w:id="9"/>
    </w:p>
    <w:p w:rsidR="00BE1A68" w:rsidRDefault="00454288">
      <w:pPr>
        <w:spacing w:after="113"/>
        <w:ind w:left="-15" w:right="339" w:firstLine="708"/>
      </w:pPr>
      <w:r>
        <w:t xml:space="preserve">Em 1926, </w:t>
      </w:r>
      <w:r>
        <w:t xml:space="preserve">João Montenegro descreveu a prova de </w:t>
      </w:r>
      <w:proofErr w:type="spellStart"/>
      <w:r>
        <w:t>intradermorreação</w:t>
      </w:r>
      <w:proofErr w:type="spellEnd"/>
      <w:r>
        <w:t xml:space="preserve"> para diagnóstico de úlceras leishmanióticas</w:t>
      </w:r>
      <w:r>
        <w:rPr>
          <w:vertAlign w:val="superscript"/>
        </w:rPr>
        <w:t>9</w:t>
      </w:r>
      <w:r>
        <w:t>. O teste, também conhecido como hipersensibilidade tardia (DTH), consiste na avaliação dérmica do paciente entre 48 e 72h após a injeção de antígenos de par</w:t>
      </w:r>
      <w:r>
        <w:t xml:space="preserve">asitos do gênero </w:t>
      </w:r>
      <w:proofErr w:type="spellStart"/>
      <w:r>
        <w:rPr>
          <w:i/>
        </w:rPr>
        <w:t>Leishmania</w:t>
      </w:r>
      <w:proofErr w:type="spellEnd"/>
      <w:r>
        <w:t xml:space="preserve">. Pacientes que possuem LC ou história prévia de LC geralmente têm um teste positivo, ou seja, desenvolvem uma </w:t>
      </w:r>
      <w:proofErr w:type="spellStart"/>
      <w:r>
        <w:t>induração</w:t>
      </w:r>
      <w:proofErr w:type="spellEnd"/>
      <w:r>
        <w:t xml:space="preserve"> igual ou superior a 5mm de diâmetro no local em que o antígeno foi aplicado, a qual está associada à ação li</w:t>
      </w:r>
      <w:r>
        <w:t>nfocitária e à produção de IFN-γ</w:t>
      </w:r>
      <w:r>
        <w:rPr>
          <w:vertAlign w:val="superscript"/>
        </w:rPr>
        <w:t>2</w:t>
      </w:r>
      <w:r>
        <w:t>. No entanto, uma pequena parcela de indivíduos desse grupo apresenta teste negativo</w:t>
      </w:r>
      <w:r>
        <w:rPr>
          <w:vertAlign w:val="superscript"/>
        </w:rPr>
        <w:t>2</w:t>
      </w:r>
      <w:r>
        <w:t xml:space="preserve">, o que se espera de pessoas que nunca tiveram LC. </w:t>
      </w:r>
    </w:p>
    <w:p w:rsidR="00BE1A68" w:rsidRDefault="00454288">
      <w:pPr>
        <w:spacing w:after="175"/>
        <w:ind w:left="-15" w:right="339" w:firstLine="708"/>
      </w:pPr>
      <w:r>
        <w:t>A IDRM possui altas sensibilidade e especificidade</w:t>
      </w:r>
      <w:r>
        <w:rPr>
          <w:vertAlign w:val="superscript"/>
        </w:rPr>
        <w:t>15, 16, 17</w:t>
      </w:r>
      <w:r>
        <w:t>, porém, como não diferenc</w:t>
      </w:r>
      <w:r>
        <w:t>ia o contato prévio com o parasito da infecção ativa, é raramente utilizada como método diagnóstico nos dias atuais, sendo mais empregada em estudos epidemiológicos e como teste diagnóstico complementar</w:t>
      </w:r>
      <w:r>
        <w:rPr>
          <w:vertAlign w:val="superscript"/>
        </w:rPr>
        <w:t>17</w:t>
      </w:r>
      <w:r>
        <w:t xml:space="preserve">. </w:t>
      </w:r>
    </w:p>
    <w:p w:rsidR="00BE1A68" w:rsidRDefault="00454288">
      <w:pPr>
        <w:spacing w:after="276" w:line="259" w:lineRule="auto"/>
        <w:ind w:left="708" w:firstLine="0"/>
        <w:jc w:val="left"/>
      </w:pPr>
      <w:r>
        <w:t xml:space="preserve"> </w:t>
      </w:r>
    </w:p>
    <w:p w:rsidR="00BE1A68" w:rsidRDefault="00454288">
      <w:pPr>
        <w:spacing w:after="273" w:line="259" w:lineRule="auto"/>
        <w:ind w:left="708" w:firstLine="0"/>
        <w:jc w:val="left"/>
      </w:pPr>
      <w:r>
        <w:lastRenderedPageBreak/>
        <w:t xml:space="preserve"> </w:t>
      </w:r>
    </w:p>
    <w:p w:rsidR="00BE1A68" w:rsidRDefault="00454288">
      <w:pPr>
        <w:spacing w:after="0" w:line="259" w:lineRule="auto"/>
        <w:ind w:left="708" w:firstLine="0"/>
        <w:jc w:val="left"/>
      </w:pPr>
      <w:r>
        <w:t xml:space="preserve"> </w:t>
      </w:r>
    </w:p>
    <w:p w:rsidR="00BE1A68" w:rsidRDefault="00454288">
      <w:pPr>
        <w:pStyle w:val="Ttulo2"/>
        <w:spacing w:after="273" w:line="259" w:lineRule="auto"/>
        <w:ind w:left="766" w:right="339" w:hanging="406"/>
      </w:pPr>
      <w:bookmarkStart w:id="10" w:name="_Toc32354"/>
      <w:r>
        <w:t xml:space="preserve">HISTOPATOLOGIA </w:t>
      </w:r>
      <w:bookmarkEnd w:id="10"/>
    </w:p>
    <w:p w:rsidR="00BE1A68" w:rsidRDefault="00454288">
      <w:pPr>
        <w:ind w:left="-15" w:right="339" w:firstLine="708"/>
      </w:pPr>
      <w:r>
        <w:t xml:space="preserve">A </w:t>
      </w:r>
      <w:proofErr w:type="spellStart"/>
      <w:r>
        <w:t>histopatologia</w:t>
      </w:r>
      <w:proofErr w:type="spellEnd"/>
      <w:r>
        <w:t xml:space="preserve"> da LC reve</w:t>
      </w:r>
      <w:r>
        <w:t xml:space="preserve">la, como principal caraterística, uma inflamação tecidual crônica, provocada pelo parasito, que se encontra no interior de células fagocitárias. Uma biópsia de úlcera </w:t>
      </w:r>
      <w:proofErr w:type="spellStart"/>
      <w:r>
        <w:t>leishmaniótica</w:t>
      </w:r>
      <w:proofErr w:type="spellEnd"/>
      <w:r>
        <w:t xml:space="preserve"> pode conter regiões de necrose tissular e granulomas, enquanto seu infiltr</w:t>
      </w:r>
      <w:r>
        <w:t>ado inflamatório inclui macrófagos, linfócitos, neutrófilos e plasmócitos</w:t>
      </w:r>
      <w:r>
        <w:rPr>
          <w:vertAlign w:val="superscript"/>
        </w:rPr>
        <w:t>17</w:t>
      </w:r>
      <w:r>
        <w:t>. A quantidade de amastigotas visualizadas tende a diminuir com o passar do tempo, assim como o número de plasmócitos se eleva</w:t>
      </w:r>
      <w:r>
        <w:rPr>
          <w:vertAlign w:val="superscript"/>
        </w:rPr>
        <w:t>18</w:t>
      </w:r>
      <w:r>
        <w:t xml:space="preserve">. </w:t>
      </w:r>
    </w:p>
    <w:p w:rsidR="00BE1A68" w:rsidRDefault="00454288">
      <w:pPr>
        <w:ind w:left="-15" w:right="339" w:firstLine="708"/>
      </w:pPr>
      <w:r>
        <w:t xml:space="preserve">O estado da arte é pobre em estudos que correlacionem a </w:t>
      </w:r>
      <w:proofErr w:type="spellStart"/>
      <w:r>
        <w:t>histopatologia</w:t>
      </w:r>
      <w:proofErr w:type="spellEnd"/>
      <w:r>
        <w:t xml:space="preserve"> da LC à reação intradérmica, porém um artigo recente</w:t>
      </w:r>
      <w:r>
        <w:rPr>
          <w:vertAlign w:val="superscript"/>
        </w:rPr>
        <w:t>2</w:t>
      </w:r>
      <w:r>
        <w:t xml:space="preserve"> sugere que aqueles com IDRM- têm menos área de inflamação, focos de necrose tissular e mais linfócitos CD8</w:t>
      </w:r>
      <w:r>
        <w:rPr>
          <w:vertAlign w:val="superscript"/>
        </w:rPr>
        <w:t>+</w:t>
      </w:r>
      <w:r>
        <w:t>, além duma tendência ma</w:t>
      </w:r>
      <w:r>
        <w:t xml:space="preserve">ior a falha terapêutica.  </w:t>
      </w:r>
    </w:p>
    <w:p w:rsidR="00BE1A68" w:rsidRDefault="00454288">
      <w:pPr>
        <w:spacing w:after="184" w:line="259" w:lineRule="auto"/>
        <w:ind w:left="-1" w:firstLine="0"/>
        <w:jc w:val="right"/>
      </w:pPr>
      <w:r>
        <w:rPr>
          <w:noProof/>
        </w:rPr>
        <w:drawing>
          <wp:inline distT="0" distB="0" distL="0" distR="0">
            <wp:extent cx="5582666" cy="3376930"/>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19"/>
                    <a:stretch>
                      <a:fillRect/>
                    </a:stretch>
                  </pic:blipFill>
                  <pic:spPr>
                    <a:xfrm>
                      <a:off x="0" y="0"/>
                      <a:ext cx="5582666" cy="3376930"/>
                    </a:xfrm>
                    <a:prstGeom prst="rect">
                      <a:avLst/>
                    </a:prstGeom>
                  </pic:spPr>
                </pic:pic>
              </a:graphicData>
            </a:graphic>
          </wp:inline>
        </w:drawing>
      </w:r>
      <w:r>
        <w:t xml:space="preserve"> </w:t>
      </w:r>
    </w:p>
    <w:p w:rsidR="00BE1A68" w:rsidRDefault="00454288">
      <w:pPr>
        <w:spacing w:after="293" w:line="259" w:lineRule="auto"/>
        <w:ind w:left="-5" w:right="332"/>
      </w:pPr>
      <w:r>
        <w:rPr>
          <w:sz w:val="20"/>
        </w:rPr>
        <w:t xml:space="preserve">Figura 2: Seção histológica de biópsia de pele dum paciente com LC; aumento de 40x. </w:t>
      </w:r>
    </w:p>
    <w:p w:rsidR="00BE1A68" w:rsidRDefault="00454288">
      <w:pPr>
        <w:spacing w:after="0" w:line="259" w:lineRule="auto"/>
        <w:ind w:left="0" w:firstLine="0"/>
        <w:jc w:val="left"/>
      </w:pPr>
      <w:r>
        <w:rPr>
          <w:b/>
        </w:rPr>
        <w:t xml:space="preserve"> </w:t>
      </w:r>
      <w:r>
        <w:rPr>
          <w:b/>
        </w:rPr>
        <w:tab/>
        <w:t xml:space="preserve"> </w:t>
      </w:r>
    </w:p>
    <w:p w:rsidR="00BE1A68" w:rsidRDefault="00454288">
      <w:pPr>
        <w:pStyle w:val="Ttulo1"/>
        <w:spacing w:after="273"/>
        <w:ind w:left="705" w:right="0" w:hanging="360"/>
        <w:jc w:val="left"/>
      </w:pPr>
      <w:bookmarkStart w:id="11" w:name="_Toc32355"/>
      <w:r>
        <w:t>METODOLOGIA</w:t>
      </w:r>
      <w:r>
        <w:rPr>
          <w:b w:val="0"/>
        </w:rPr>
        <w:t xml:space="preserve"> </w:t>
      </w:r>
      <w:bookmarkEnd w:id="11"/>
    </w:p>
    <w:p w:rsidR="00BE1A68" w:rsidRDefault="00454288">
      <w:pPr>
        <w:spacing w:after="277" w:line="259" w:lineRule="auto"/>
        <w:ind w:left="0" w:firstLine="0"/>
        <w:jc w:val="left"/>
      </w:pPr>
      <w:r>
        <w:rPr>
          <w:b/>
        </w:rPr>
        <w:t xml:space="preserve"> </w:t>
      </w:r>
    </w:p>
    <w:p w:rsidR="00BE1A68" w:rsidRDefault="00454288">
      <w:pPr>
        <w:pStyle w:val="Ttulo2"/>
        <w:spacing w:after="273" w:line="259" w:lineRule="auto"/>
        <w:ind w:left="766" w:right="339" w:hanging="406"/>
      </w:pPr>
      <w:bookmarkStart w:id="12" w:name="_Toc32356"/>
      <w:r>
        <w:lastRenderedPageBreak/>
        <w:t xml:space="preserve">DESENHO DE ESTUDO </w:t>
      </w:r>
      <w:bookmarkEnd w:id="12"/>
    </w:p>
    <w:p w:rsidR="00BE1A68" w:rsidRDefault="00454288">
      <w:pPr>
        <w:tabs>
          <w:tab w:val="center" w:pos="3487"/>
        </w:tabs>
        <w:spacing w:after="280" w:line="259" w:lineRule="auto"/>
        <w:ind w:left="-15" w:firstLine="0"/>
        <w:jc w:val="left"/>
      </w:pPr>
      <w:r>
        <w:t xml:space="preserve"> </w:t>
      </w:r>
      <w:r>
        <w:tab/>
        <w:t xml:space="preserve">Este é um estudo de corte transversal com grupo controle. </w:t>
      </w:r>
    </w:p>
    <w:p w:rsidR="00BE1A68" w:rsidRDefault="00454288">
      <w:pPr>
        <w:spacing w:after="279" w:line="259" w:lineRule="auto"/>
        <w:ind w:left="0" w:firstLine="0"/>
        <w:jc w:val="left"/>
      </w:pPr>
      <w:r>
        <w:t xml:space="preserve"> </w:t>
      </w:r>
    </w:p>
    <w:p w:rsidR="00BE1A68" w:rsidRDefault="00454288">
      <w:pPr>
        <w:pStyle w:val="Ttulo2"/>
        <w:spacing w:after="274" w:line="259" w:lineRule="auto"/>
        <w:ind w:left="766" w:right="339" w:hanging="406"/>
      </w:pPr>
      <w:bookmarkStart w:id="13" w:name="_Toc32357"/>
      <w:r>
        <w:t xml:space="preserve">LOCAL E PERÍODO DO ESTUDO  </w:t>
      </w:r>
      <w:bookmarkEnd w:id="13"/>
    </w:p>
    <w:p w:rsidR="00BE1A68" w:rsidRDefault="00454288">
      <w:pPr>
        <w:ind w:left="-5" w:right="339"/>
      </w:pPr>
      <w:r>
        <w:t xml:space="preserve"> As </w:t>
      </w:r>
      <w:r>
        <w:t xml:space="preserve">biópsias analisadas foram coletadas no Centro de Referência em Leishmaniose Dr. Jackson Maurício Lopes Costa, no distrito Corte de Pedra, município baiano de Presidente Tancredo Neves. Elas foram coletadas entre os anos de 2014 e 2021. </w:t>
      </w:r>
    </w:p>
    <w:p w:rsidR="00BE1A68" w:rsidRDefault="00454288">
      <w:pPr>
        <w:spacing w:after="277" w:line="259" w:lineRule="auto"/>
        <w:ind w:left="0" w:firstLine="0"/>
        <w:jc w:val="left"/>
      </w:pPr>
      <w:r>
        <w:t xml:space="preserve"> </w:t>
      </w:r>
    </w:p>
    <w:p w:rsidR="00BE1A68" w:rsidRDefault="00454288">
      <w:pPr>
        <w:pStyle w:val="Ttulo2"/>
        <w:spacing w:after="277" w:line="259" w:lineRule="auto"/>
        <w:ind w:left="766" w:right="339" w:hanging="406"/>
      </w:pPr>
      <w:bookmarkStart w:id="14" w:name="_Toc32358"/>
      <w:r>
        <w:t>POPULAÇÃO DO ESTU</w:t>
      </w:r>
      <w:r>
        <w:t xml:space="preserve">DO </w:t>
      </w:r>
      <w:bookmarkEnd w:id="14"/>
    </w:p>
    <w:p w:rsidR="00BE1A68" w:rsidRDefault="00454288">
      <w:pPr>
        <w:pStyle w:val="Ttulo3"/>
        <w:ind w:left="1065" w:right="0" w:hanging="720"/>
      </w:pPr>
      <w:bookmarkStart w:id="15" w:name="_Toc32359"/>
      <w:r>
        <w:t xml:space="preserve">População-alvo </w:t>
      </w:r>
      <w:bookmarkEnd w:id="15"/>
    </w:p>
    <w:p w:rsidR="00BE1A68" w:rsidRDefault="00454288">
      <w:pPr>
        <w:tabs>
          <w:tab w:val="center" w:pos="3793"/>
        </w:tabs>
        <w:spacing w:after="280" w:line="259" w:lineRule="auto"/>
        <w:ind w:left="-15" w:firstLine="0"/>
        <w:jc w:val="left"/>
      </w:pPr>
      <w:r>
        <w:t xml:space="preserve"> </w:t>
      </w:r>
      <w:r>
        <w:tab/>
        <w:t xml:space="preserve">Pacientes com leishmaniose cutânea causada por </w:t>
      </w:r>
      <w:r>
        <w:rPr>
          <w:i/>
        </w:rPr>
        <w:t xml:space="preserve">L. </w:t>
      </w:r>
      <w:proofErr w:type="spellStart"/>
      <w:r>
        <w:rPr>
          <w:i/>
        </w:rPr>
        <w:t>braziliensis</w:t>
      </w:r>
      <w:proofErr w:type="spellEnd"/>
      <w:r>
        <w:t xml:space="preserve">. </w:t>
      </w:r>
    </w:p>
    <w:p w:rsidR="00BE1A68" w:rsidRDefault="00454288">
      <w:pPr>
        <w:spacing w:after="277" w:line="259" w:lineRule="auto"/>
        <w:ind w:left="0" w:firstLine="0"/>
        <w:jc w:val="left"/>
      </w:pPr>
      <w:r>
        <w:t xml:space="preserve"> </w:t>
      </w:r>
    </w:p>
    <w:p w:rsidR="00BE1A68" w:rsidRDefault="00454288">
      <w:pPr>
        <w:pStyle w:val="Ttulo3"/>
        <w:ind w:left="1065" w:right="0" w:hanging="720"/>
      </w:pPr>
      <w:bookmarkStart w:id="16" w:name="_Toc32360"/>
      <w:r>
        <w:t>População acessível</w:t>
      </w:r>
      <w:r>
        <w:rPr>
          <w:b w:val="0"/>
        </w:rPr>
        <w:t xml:space="preserve"> </w:t>
      </w:r>
      <w:bookmarkEnd w:id="16"/>
    </w:p>
    <w:p w:rsidR="00BE1A68" w:rsidRDefault="00454288">
      <w:pPr>
        <w:ind w:left="-5" w:right="339"/>
      </w:pPr>
      <w:r>
        <w:t xml:space="preserve"> Pacientes com LC atendidos no centro de referência em leishmaniose localizado no distrito de Corte de Pedra, em Presidente Tancredo Neves, BA. </w:t>
      </w:r>
    </w:p>
    <w:p w:rsidR="00BE1A68" w:rsidRDefault="00454288">
      <w:pPr>
        <w:spacing w:after="277" w:line="259" w:lineRule="auto"/>
        <w:ind w:left="0" w:firstLine="0"/>
        <w:jc w:val="left"/>
      </w:pPr>
      <w:r>
        <w:t xml:space="preserve"> </w:t>
      </w:r>
    </w:p>
    <w:p w:rsidR="00BE1A68" w:rsidRDefault="00454288">
      <w:pPr>
        <w:pStyle w:val="Ttulo3"/>
        <w:spacing w:after="277"/>
        <w:ind w:left="1065" w:right="0" w:hanging="720"/>
      </w:pPr>
      <w:bookmarkStart w:id="17" w:name="_Toc32361"/>
      <w:r>
        <w:t>Critérios de elegibilidade</w:t>
      </w:r>
      <w:r>
        <w:rPr>
          <w:b w:val="0"/>
        </w:rPr>
        <w:t xml:space="preserve"> </w:t>
      </w:r>
      <w:bookmarkEnd w:id="17"/>
    </w:p>
    <w:p w:rsidR="00BE1A68" w:rsidRDefault="00454288">
      <w:pPr>
        <w:pStyle w:val="Ttulo4"/>
        <w:ind w:left="1425" w:hanging="1080"/>
      </w:pPr>
      <w:bookmarkStart w:id="18" w:name="_Toc32362"/>
      <w:r>
        <w:t>Critérios de inclusão</w:t>
      </w:r>
      <w:r>
        <w:rPr>
          <w:u w:val="none"/>
        </w:rPr>
        <w:t xml:space="preserve"> </w:t>
      </w:r>
      <w:bookmarkEnd w:id="18"/>
    </w:p>
    <w:p w:rsidR="00BE1A68" w:rsidRDefault="00454288">
      <w:pPr>
        <w:ind w:left="370" w:right="339"/>
      </w:pPr>
      <w:r>
        <w:t xml:space="preserve"> Pacientes com lesões cutâneas compatíveis com LC, PCR+ para </w:t>
      </w:r>
      <w:r>
        <w:rPr>
          <w:i/>
        </w:rPr>
        <w:t xml:space="preserve">L. </w:t>
      </w:r>
      <w:proofErr w:type="spellStart"/>
      <w:r>
        <w:rPr>
          <w:i/>
        </w:rPr>
        <w:t>braziliensis</w:t>
      </w:r>
      <w:proofErr w:type="spellEnd"/>
      <w:r>
        <w:t xml:space="preserve"> e presença de amastigotas confirmada por IHQ. </w:t>
      </w:r>
    </w:p>
    <w:p w:rsidR="00BE1A68" w:rsidRDefault="00454288">
      <w:pPr>
        <w:pStyle w:val="Ttulo4"/>
        <w:ind w:left="1425" w:hanging="1080"/>
      </w:pPr>
      <w:bookmarkStart w:id="19" w:name="_Toc32363"/>
      <w:r>
        <w:t>Critérios de exclusão</w:t>
      </w:r>
      <w:r>
        <w:rPr>
          <w:u w:val="none"/>
        </w:rPr>
        <w:t xml:space="preserve"> </w:t>
      </w:r>
      <w:bookmarkEnd w:id="19"/>
    </w:p>
    <w:p w:rsidR="00BE1A68" w:rsidRDefault="00454288">
      <w:pPr>
        <w:ind w:left="370" w:right="339"/>
      </w:pPr>
      <w:r>
        <w:t xml:space="preserve"> Pacientes com leishmaniose cutânea disseminada, história</w:t>
      </w:r>
      <w:r>
        <w:t xml:space="preserve"> prévia de leishmaniose, VIH positivo ou obesidade. </w:t>
      </w:r>
    </w:p>
    <w:p w:rsidR="00BE1A68" w:rsidRDefault="00454288">
      <w:pPr>
        <w:spacing w:after="0" w:line="259" w:lineRule="auto"/>
        <w:ind w:left="0" w:firstLine="0"/>
        <w:jc w:val="left"/>
      </w:pPr>
      <w:r>
        <w:t xml:space="preserve"> </w:t>
      </w:r>
    </w:p>
    <w:p w:rsidR="00BE1A68" w:rsidRDefault="00454288">
      <w:pPr>
        <w:pStyle w:val="Ttulo3"/>
        <w:spacing w:after="273"/>
        <w:ind w:left="1065" w:right="0" w:hanging="720"/>
      </w:pPr>
      <w:bookmarkStart w:id="20" w:name="_Toc32364"/>
      <w:r>
        <w:t>Tamanho e seleção amostral</w:t>
      </w:r>
      <w:r>
        <w:rPr>
          <w:b w:val="0"/>
        </w:rPr>
        <w:t xml:space="preserve"> </w:t>
      </w:r>
      <w:bookmarkEnd w:id="20"/>
    </w:p>
    <w:p w:rsidR="00BE1A68" w:rsidRDefault="00454288">
      <w:pPr>
        <w:ind w:left="-5" w:right="339"/>
      </w:pPr>
      <w:r>
        <w:t xml:space="preserve"> Este estudo utiliza amostra de conveniência. Foram selecionadas 42 biópsias de pele para a análise comparativa, sendo 26 delas de pacientes com IDRM- e 16 </w:t>
      </w:r>
      <w:r>
        <w:t xml:space="preserve">de pacientes com </w:t>
      </w:r>
      <w:r>
        <w:lastRenderedPageBreak/>
        <w:t>IDRM+ para controle. Os 26 casos selecionados representam a totalidade de biópsias de pacientes com IDRM- disponíveis para a avaliação no universo de biópsias coletadas, enquanto os 16 pacientes com IDRM+ foram escolhidos de forma aleatóri</w:t>
      </w:r>
      <w:r>
        <w:t xml:space="preserve">a.  </w:t>
      </w:r>
    </w:p>
    <w:p w:rsidR="00BE1A68" w:rsidRDefault="00454288">
      <w:pPr>
        <w:spacing w:after="277" w:line="259" w:lineRule="auto"/>
        <w:ind w:left="0" w:firstLine="0"/>
        <w:jc w:val="left"/>
      </w:pPr>
      <w:r>
        <w:t xml:space="preserve"> </w:t>
      </w:r>
    </w:p>
    <w:p w:rsidR="00BE1A68" w:rsidRDefault="00454288">
      <w:pPr>
        <w:pStyle w:val="Ttulo3"/>
        <w:ind w:left="1065" w:right="0" w:hanging="720"/>
      </w:pPr>
      <w:bookmarkStart w:id="21" w:name="_Toc32365"/>
      <w:r>
        <w:t xml:space="preserve">Fonte de dados </w:t>
      </w:r>
      <w:bookmarkEnd w:id="21"/>
    </w:p>
    <w:p w:rsidR="00BE1A68" w:rsidRDefault="00454288">
      <w:pPr>
        <w:ind w:left="-5" w:right="339"/>
      </w:pPr>
      <w:r>
        <w:t xml:space="preserve"> A fonte de dados deste estudo é primária: fragmentos de biópsia coletados das bordas de úlceras dos pacientes incluídos. </w:t>
      </w:r>
    </w:p>
    <w:p w:rsidR="00BE1A68" w:rsidRDefault="00454288">
      <w:pPr>
        <w:spacing w:after="279" w:line="259" w:lineRule="auto"/>
        <w:ind w:left="0" w:firstLine="0"/>
        <w:jc w:val="left"/>
      </w:pPr>
      <w:r>
        <w:t xml:space="preserve"> </w:t>
      </w:r>
    </w:p>
    <w:p w:rsidR="00BE1A68" w:rsidRDefault="00454288">
      <w:pPr>
        <w:pStyle w:val="Ttulo3"/>
        <w:ind w:left="1065" w:right="0" w:hanging="720"/>
      </w:pPr>
      <w:bookmarkStart w:id="22" w:name="_Toc32366"/>
      <w:r>
        <w:t xml:space="preserve">Instrumento da coleta de dados </w:t>
      </w:r>
      <w:bookmarkEnd w:id="22"/>
    </w:p>
    <w:p w:rsidR="00BE1A68" w:rsidRDefault="00454288">
      <w:pPr>
        <w:tabs>
          <w:tab w:val="center" w:pos="4532"/>
        </w:tabs>
        <w:spacing w:after="280" w:line="259" w:lineRule="auto"/>
        <w:ind w:left="-15" w:firstLine="0"/>
        <w:jc w:val="left"/>
      </w:pPr>
      <w:r>
        <w:t xml:space="preserve"> </w:t>
      </w:r>
      <w:r>
        <w:tab/>
        <w:t xml:space="preserve">Os fragmentos de biópsia foram coletados por meio de biópsia por </w:t>
      </w:r>
      <w:proofErr w:type="spellStart"/>
      <w:r>
        <w:rPr>
          <w:i/>
        </w:rPr>
        <w:t>punch</w:t>
      </w:r>
      <w:proofErr w:type="spellEnd"/>
      <w:r>
        <w:t xml:space="preserve"> </w:t>
      </w:r>
      <w:r>
        <w:t xml:space="preserve">4mm. </w:t>
      </w:r>
    </w:p>
    <w:p w:rsidR="00BE1A68" w:rsidRDefault="00454288">
      <w:pPr>
        <w:spacing w:after="277" w:line="259" w:lineRule="auto"/>
        <w:ind w:left="0" w:firstLine="0"/>
        <w:jc w:val="left"/>
      </w:pPr>
      <w:r>
        <w:t xml:space="preserve"> </w:t>
      </w:r>
    </w:p>
    <w:p w:rsidR="00BE1A68" w:rsidRDefault="00454288">
      <w:pPr>
        <w:pStyle w:val="Ttulo3"/>
        <w:ind w:left="1065" w:right="0" w:hanging="720"/>
      </w:pPr>
      <w:bookmarkStart w:id="23" w:name="_Toc32367"/>
      <w:r>
        <w:t xml:space="preserve">Procedimento da coleta de dados </w:t>
      </w:r>
      <w:bookmarkEnd w:id="23"/>
    </w:p>
    <w:p w:rsidR="00BE1A68" w:rsidRDefault="00454288">
      <w:pPr>
        <w:ind w:left="-5" w:right="339"/>
      </w:pPr>
      <w:r>
        <w:t xml:space="preserve"> Após coletados, os fragmentos de biópsia foram fixados em </w:t>
      </w:r>
      <w:proofErr w:type="spellStart"/>
      <w:r>
        <w:t>paraformaldeído</w:t>
      </w:r>
      <w:proofErr w:type="spellEnd"/>
      <w:r>
        <w:t xml:space="preserve"> 4%, </w:t>
      </w:r>
      <w:proofErr w:type="spellStart"/>
      <w:r>
        <w:t>emblocados</w:t>
      </w:r>
      <w:proofErr w:type="spellEnd"/>
      <w:r>
        <w:t xml:space="preserve"> em parafina, recortados com 5µm de espessura e, então, corados em H&amp;E e PAS ou separados para IHQ. </w:t>
      </w:r>
    </w:p>
    <w:p w:rsidR="00BE1A68" w:rsidRDefault="00454288">
      <w:pPr>
        <w:pStyle w:val="Ttulo4"/>
        <w:ind w:left="1425" w:hanging="1080"/>
      </w:pPr>
      <w:bookmarkStart w:id="24" w:name="_Toc32368"/>
      <w:r>
        <w:t>Análise histopatológica</w:t>
      </w:r>
      <w:r>
        <w:rPr>
          <w:u w:val="none"/>
        </w:rPr>
        <w:t xml:space="preserve"> </w:t>
      </w:r>
      <w:bookmarkEnd w:id="24"/>
    </w:p>
    <w:p w:rsidR="00BE1A68" w:rsidRDefault="00454288">
      <w:pPr>
        <w:ind w:left="370" w:right="339"/>
      </w:pPr>
      <w:r>
        <w:t xml:space="preserve"> A análise das lâminas foi feita sem identificação dos grupos incluídos no estudo e realizada em duas etapas:  </w:t>
      </w:r>
    </w:p>
    <w:p w:rsidR="00BE1A68" w:rsidRDefault="00454288">
      <w:pPr>
        <w:pStyle w:val="Ttulo5"/>
        <w:spacing w:after="273" w:line="259" w:lineRule="auto"/>
        <w:ind w:left="1440" w:right="339" w:hanging="1080"/>
      </w:pPr>
      <w:bookmarkStart w:id="25" w:name="_Toc32369"/>
      <w:r>
        <w:t xml:space="preserve">Análise subjetiva </w:t>
      </w:r>
      <w:bookmarkEnd w:id="25"/>
    </w:p>
    <w:p w:rsidR="00BE1A68" w:rsidRDefault="00454288">
      <w:pPr>
        <w:ind w:left="718" w:right="339"/>
      </w:pPr>
      <w:r>
        <w:t xml:space="preserve"> Realizada por dois observadores em microscópio de </w:t>
      </w:r>
      <w:proofErr w:type="spellStart"/>
      <w:r>
        <w:t>multi</w:t>
      </w:r>
      <w:proofErr w:type="spellEnd"/>
      <w:r>
        <w:t xml:space="preserve"> observação, em que foram avaliadas a extensão de inflamação (regiões</w:t>
      </w:r>
      <w:r>
        <w:t xml:space="preserve"> com infiltrado inflamatório, principalmente às custas de macrófagos, linfócitos e plasmócitos), fibrose, necrose (regiões com destruição tecidual), presença ou não de granulomas, células-gigantes, as quantidades de plasmócitos, neutrófilos e amastigotas, </w:t>
      </w:r>
      <w:r>
        <w:t xml:space="preserve">quantificando-se de + a +++; </w:t>
      </w:r>
    </w:p>
    <w:p w:rsidR="00BE1A68" w:rsidRDefault="00454288">
      <w:pPr>
        <w:spacing w:after="0" w:line="259" w:lineRule="auto"/>
        <w:ind w:left="708" w:firstLine="0"/>
        <w:jc w:val="left"/>
      </w:pPr>
      <w:r>
        <w:t xml:space="preserve"> </w:t>
      </w:r>
    </w:p>
    <w:p w:rsidR="00BE1A68" w:rsidRDefault="00454288">
      <w:pPr>
        <w:pStyle w:val="Ttulo5"/>
        <w:spacing w:after="273" w:line="259" w:lineRule="auto"/>
        <w:ind w:left="1440" w:right="339" w:hanging="1080"/>
      </w:pPr>
      <w:bookmarkStart w:id="26" w:name="_Toc32370"/>
      <w:r>
        <w:lastRenderedPageBreak/>
        <w:t>Análise objetiva</w:t>
      </w:r>
      <w:r>
        <w:rPr>
          <w:i/>
        </w:rPr>
        <w:t xml:space="preserve"> </w:t>
      </w:r>
      <w:bookmarkEnd w:id="26"/>
    </w:p>
    <w:p w:rsidR="00BE1A68" w:rsidRDefault="00454288">
      <w:pPr>
        <w:ind w:left="718" w:right="339"/>
      </w:pPr>
      <w:r>
        <w:t xml:space="preserve"> A quantificação das áreas total da derme, da inflamação e da necrose se deu pela mensuração de imagens capturadas por câmera </w:t>
      </w:r>
      <w:proofErr w:type="spellStart"/>
      <w:r>
        <w:t>Moticam</w:t>
      </w:r>
      <w:proofErr w:type="spellEnd"/>
      <w:r>
        <w:t xml:space="preserve"> 1080 acoplada ao microscópio Nikon Eclipse </w:t>
      </w:r>
      <w:proofErr w:type="spellStart"/>
      <w:r>
        <w:t>Ci</w:t>
      </w:r>
      <w:proofErr w:type="spellEnd"/>
      <w:r>
        <w:t xml:space="preserve">.  </w:t>
      </w:r>
    </w:p>
    <w:p w:rsidR="00BE1A68" w:rsidRDefault="00454288">
      <w:pPr>
        <w:ind w:left="370" w:right="339"/>
      </w:pPr>
      <w:r>
        <w:t xml:space="preserve"> Os cálculos foram feit</w:t>
      </w:r>
      <w:r>
        <w:t>os pelo programa da câmera, previamente calibrada. A contagem de plasmócitos foi feita no mesmo microscópio em biópsias coradas por PAS em ampliação de 200X. As porcentagens de inflamação foram calculadas em relação à área dérmica total da seção histológic</w:t>
      </w:r>
      <w:r>
        <w:t xml:space="preserve">a, enquanto as porcentagens de necrose foram calculadas em relação à área inflamada da biópsia. </w:t>
      </w:r>
    </w:p>
    <w:p w:rsidR="00BE1A68" w:rsidRDefault="00454288">
      <w:pPr>
        <w:pStyle w:val="Ttulo4"/>
        <w:spacing w:after="121"/>
        <w:ind w:left="1425" w:hanging="1080"/>
      </w:pPr>
      <w:bookmarkStart w:id="27" w:name="_Toc32371"/>
      <w:r>
        <w:t>Imuno-histoquímica</w:t>
      </w:r>
      <w:r>
        <w:rPr>
          <w:u w:val="none"/>
        </w:rPr>
        <w:t xml:space="preserve"> </w:t>
      </w:r>
      <w:bookmarkEnd w:id="27"/>
    </w:p>
    <w:p w:rsidR="00BE1A68" w:rsidRDefault="00454288">
      <w:pPr>
        <w:ind w:left="370" w:right="339"/>
      </w:pPr>
      <w:r>
        <w:t xml:space="preserve"> A técnica de IHQ foi aplicada utilizando-se anticorpos específicos para identificar e quantificar os seguintes marcadores: CD8</w:t>
      </w:r>
      <w:r>
        <w:rPr>
          <w:vertAlign w:val="superscript"/>
        </w:rPr>
        <w:t>+</w:t>
      </w:r>
      <w:r>
        <w:t xml:space="preserve"> (</w:t>
      </w:r>
      <w:proofErr w:type="spellStart"/>
      <w:r>
        <w:t>Abcam</w:t>
      </w:r>
      <w:proofErr w:type="spellEnd"/>
      <w:r>
        <w:t xml:space="preserve"> Ref</w:t>
      </w:r>
      <w:r>
        <w:t>.: ab4055; 1:400), CD20</w:t>
      </w:r>
      <w:r>
        <w:rPr>
          <w:vertAlign w:val="superscript"/>
        </w:rPr>
        <w:t>+</w:t>
      </w:r>
      <w:r>
        <w:t xml:space="preserve"> (Dako clone L26 Ref.: M0755; 1:100), CD57</w:t>
      </w:r>
      <w:r>
        <w:rPr>
          <w:vertAlign w:val="superscript"/>
        </w:rPr>
        <w:t>+</w:t>
      </w:r>
      <w:r>
        <w:t xml:space="preserve"> (</w:t>
      </w:r>
      <w:proofErr w:type="spellStart"/>
      <w:r>
        <w:t>Abcam</w:t>
      </w:r>
      <w:proofErr w:type="spellEnd"/>
      <w:r>
        <w:t xml:space="preserve"> Ref.: ab187274 HNK-1/LEU7; 1:200), CD68</w:t>
      </w:r>
      <w:r>
        <w:rPr>
          <w:vertAlign w:val="superscript"/>
        </w:rPr>
        <w:t>+</w:t>
      </w:r>
      <w:r>
        <w:t xml:space="preserve"> (Dako clone KP1 Ref.: M0814; 1:200), </w:t>
      </w:r>
      <w:proofErr w:type="spellStart"/>
      <w:r>
        <w:t>granzima</w:t>
      </w:r>
      <w:proofErr w:type="spellEnd"/>
      <w:r>
        <w:t xml:space="preserve"> B</w:t>
      </w:r>
      <w:r>
        <w:rPr>
          <w:vertAlign w:val="superscript"/>
        </w:rPr>
        <w:t>+</w:t>
      </w:r>
      <w:r>
        <w:t xml:space="preserve"> (</w:t>
      </w:r>
      <w:proofErr w:type="spellStart"/>
      <w:r>
        <w:t>Cell</w:t>
      </w:r>
      <w:proofErr w:type="spellEnd"/>
      <w:r>
        <w:t xml:space="preserve"> Marque Ref.: 262A-16; 1:100), IL-1β</w:t>
      </w:r>
      <w:r>
        <w:rPr>
          <w:vertAlign w:val="superscript"/>
        </w:rPr>
        <w:t>+</w:t>
      </w:r>
      <w:r>
        <w:t xml:space="preserve"> (</w:t>
      </w:r>
      <w:proofErr w:type="spellStart"/>
      <w:r>
        <w:t>Cell</w:t>
      </w:r>
      <w:proofErr w:type="spellEnd"/>
      <w:r>
        <w:t xml:space="preserve"> </w:t>
      </w:r>
      <w:proofErr w:type="spellStart"/>
      <w:r>
        <w:t>signaling</w:t>
      </w:r>
      <w:proofErr w:type="spellEnd"/>
      <w:r>
        <w:t xml:space="preserve"> 3A6 Ref.: 04/2016; 1:40) e amast</w:t>
      </w:r>
      <w:r>
        <w:t xml:space="preserve">igotas de </w:t>
      </w:r>
      <w:r>
        <w:rPr>
          <w:i/>
        </w:rPr>
        <w:t xml:space="preserve">L. </w:t>
      </w:r>
      <w:proofErr w:type="spellStart"/>
      <w:r>
        <w:rPr>
          <w:i/>
        </w:rPr>
        <w:t>braziliensis</w:t>
      </w:r>
      <w:proofErr w:type="spellEnd"/>
      <w:r>
        <w:rPr>
          <w:i/>
        </w:rPr>
        <w:t xml:space="preserve"> </w:t>
      </w:r>
      <w:r>
        <w:t xml:space="preserve">(não comercial). </w:t>
      </w:r>
    </w:p>
    <w:p w:rsidR="00BE1A68" w:rsidRDefault="00454288">
      <w:pPr>
        <w:ind w:left="360" w:right="339" w:firstLine="427"/>
      </w:pPr>
      <w:r>
        <w:t xml:space="preserve">A quantificação das IHQ foi realizada através da contagem de células positivas para cada marcador ao microscópio </w:t>
      </w:r>
      <w:proofErr w:type="gramStart"/>
      <w:r>
        <w:t>óptico Laica</w:t>
      </w:r>
      <w:proofErr w:type="gramEnd"/>
      <w:r>
        <w:t xml:space="preserve"> DMi8 em aumento de 40x, selecionando-se 5 campos aleatórios de cada corte. </w:t>
      </w:r>
    </w:p>
    <w:p w:rsidR="00BE1A68" w:rsidRDefault="00454288">
      <w:pPr>
        <w:spacing w:after="280" w:line="259" w:lineRule="auto"/>
        <w:ind w:left="0" w:firstLine="0"/>
        <w:jc w:val="left"/>
      </w:pPr>
      <w:r>
        <w:t xml:space="preserve"> </w:t>
      </w:r>
    </w:p>
    <w:p w:rsidR="00BE1A68" w:rsidRDefault="00454288">
      <w:pPr>
        <w:pStyle w:val="Ttulo2"/>
        <w:spacing w:after="277" w:line="259" w:lineRule="auto"/>
        <w:ind w:left="766" w:right="339" w:hanging="406"/>
      </w:pPr>
      <w:bookmarkStart w:id="28" w:name="_Toc32372"/>
      <w:r>
        <w:t>VARIÁVEI</w:t>
      </w:r>
      <w:r>
        <w:t xml:space="preserve">S </w:t>
      </w:r>
      <w:bookmarkEnd w:id="28"/>
    </w:p>
    <w:p w:rsidR="00BE1A68" w:rsidRDefault="00454288">
      <w:pPr>
        <w:pStyle w:val="Ttulo3"/>
        <w:spacing w:after="273"/>
        <w:ind w:left="1065" w:right="0" w:hanging="720"/>
      </w:pPr>
      <w:bookmarkStart w:id="29" w:name="_Toc32373"/>
      <w:r>
        <w:t>Biológicas</w:t>
      </w:r>
      <w:r>
        <w:rPr>
          <w:b w:val="0"/>
        </w:rPr>
        <w:t xml:space="preserve"> </w:t>
      </w:r>
      <w:bookmarkEnd w:id="29"/>
    </w:p>
    <w:p w:rsidR="00BE1A68" w:rsidRDefault="00454288">
      <w:pPr>
        <w:tabs>
          <w:tab w:val="center" w:pos="2355"/>
        </w:tabs>
        <w:spacing w:after="283" w:line="259" w:lineRule="auto"/>
        <w:ind w:left="-15" w:firstLine="0"/>
        <w:jc w:val="left"/>
      </w:pPr>
      <w:r>
        <w:t xml:space="preserve"> </w:t>
      </w:r>
      <w:r>
        <w:tab/>
        <w:t xml:space="preserve">Idade, sexo (masculino/feminino). </w:t>
      </w:r>
    </w:p>
    <w:p w:rsidR="00BE1A68" w:rsidRDefault="00454288">
      <w:pPr>
        <w:pStyle w:val="Ttulo3"/>
        <w:spacing w:after="273"/>
        <w:ind w:left="1065" w:right="0" w:hanging="720"/>
      </w:pPr>
      <w:bookmarkStart w:id="30" w:name="_Toc32374"/>
      <w:r>
        <w:t>Clínicas</w:t>
      </w:r>
      <w:r>
        <w:rPr>
          <w:b w:val="0"/>
        </w:rPr>
        <w:t xml:space="preserve"> </w:t>
      </w:r>
      <w:bookmarkEnd w:id="30"/>
    </w:p>
    <w:p w:rsidR="00BE1A68" w:rsidRDefault="00454288">
      <w:pPr>
        <w:tabs>
          <w:tab w:val="center" w:pos="3195"/>
        </w:tabs>
        <w:spacing w:after="280" w:line="259" w:lineRule="auto"/>
        <w:ind w:left="-15" w:firstLine="0"/>
        <w:jc w:val="left"/>
      </w:pPr>
      <w:r>
        <w:t xml:space="preserve"> </w:t>
      </w:r>
      <w:r>
        <w:tab/>
        <w:t xml:space="preserve">IDRM (positiva/negativa), presença de granulomas. </w:t>
      </w:r>
    </w:p>
    <w:p w:rsidR="00BE1A68" w:rsidRDefault="00454288">
      <w:pPr>
        <w:spacing w:after="277" w:line="259" w:lineRule="auto"/>
        <w:ind w:left="0" w:firstLine="0"/>
        <w:jc w:val="left"/>
      </w:pPr>
      <w:r>
        <w:t xml:space="preserve"> </w:t>
      </w:r>
    </w:p>
    <w:p w:rsidR="00BE1A68" w:rsidRDefault="00454288">
      <w:pPr>
        <w:pStyle w:val="Ttulo3"/>
        <w:ind w:left="1065" w:right="0" w:hanging="720"/>
      </w:pPr>
      <w:bookmarkStart w:id="31" w:name="_Toc32375"/>
      <w:r>
        <w:t xml:space="preserve">Imuno-histoquímicas </w:t>
      </w:r>
      <w:bookmarkEnd w:id="31"/>
    </w:p>
    <w:p w:rsidR="00BE1A68" w:rsidRDefault="00454288">
      <w:pPr>
        <w:ind w:left="-5" w:right="339"/>
      </w:pPr>
      <w:r>
        <w:t xml:space="preserve"> Números de amastigotas, linfócitos T CD8</w:t>
      </w:r>
      <w:r>
        <w:rPr>
          <w:vertAlign w:val="superscript"/>
        </w:rPr>
        <w:t>+</w:t>
      </w:r>
      <w:r>
        <w:t>, linfócitos B</w:t>
      </w:r>
      <w:r>
        <w:rPr>
          <w:vertAlign w:val="superscript"/>
        </w:rPr>
        <w:t>+</w:t>
      </w:r>
      <w:r>
        <w:t>, CD20</w:t>
      </w:r>
      <w:r>
        <w:rPr>
          <w:vertAlign w:val="superscript"/>
        </w:rPr>
        <w:t>+</w:t>
      </w:r>
      <w:r>
        <w:t>, macrófagos CD68</w:t>
      </w:r>
      <w:r>
        <w:rPr>
          <w:vertAlign w:val="superscript"/>
        </w:rPr>
        <w:t>+</w:t>
      </w:r>
      <w:r>
        <w:t>, células NK CD57</w:t>
      </w:r>
      <w:r>
        <w:rPr>
          <w:vertAlign w:val="superscript"/>
        </w:rPr>
        <w:t>+</w:t>
      </w:r>
      <w:r>
        <w:t>, células marcadas com IL-1β</w:t>
      </w:r>
      <w:r>
        <w:rPr>
          <w:vertAlign w:val="superscript"/>
        </w:rPr>
        <w:t>+</w:t>
      </w:r>
      <w:r>
        <w:t xml:space="preserve"> e </w:t>
      </w:r>
      <w:proofErr w:type="spellStart"/>
      <w:r>
        <w:t>granzima</w:t>
      </w:r>
      <w:proofErr w:type="spellEnd"/>
      <w:r>
        <w:t xml:space="preserve"> B</w:t>
      </w:r>
      <w:r>
        <w:rPr>
          <w:vertAlign w:val="superscript"/>
        </w:rPr>
        <w:t>+</w:t>
      </w:r>
      <w:r>
        <w:t xml:space="preserve">. </w:t>
      </w:r>
    </w:p>
    <w:p w:rsidR="00BE1A68" w:rsidRDefault="00454288">
      <w:pPr>
        <w:spacing w:after="277" w:line="259" w:lineRule="auto"/>
        <w:ind w:left="710" w:firstLine="0"/>
        <w:jc w:val="left"/>
      </w:pPr>
      <w:r>
        <w:lastRenderedPageBreak/>
        <w:t xml:space="preserve"> </w:t>
      </w:r>
    </w:p>
    <w:p w:rsidR="00BE1A68" w:rsidRDefault="00454288">
      <w:pPr>
        <w:pStyle w:val="Ttulo2"/>
        <w:spacing w:after="273" w:line="259" w:lineRule="auto"/>
        <w:ind w:left="766" w:right="339" w:hanging="406"/>
      </w:pPr>
      <w:bookmarkStart w:id="32" w:name="_Toc32376"/>
      <w:r>
        <w:t xml:space="preserve">PLANO DE ANÁLISE DE DADOS </w:t>
      </w:r>
      <w:bookmarkEnd w:id="32"/>
    </w:p>
    <w:p w:rsidR="00BE1A68" w:rsidRDefault="00454288">
      <w:pPr>
        <w:ind w:left="-5" w:right="339"/>
      </w:pPr>
      <w:r>
        <w:t xml:space="preserve"> Os dados coletados foram organizados numa planilha de </w:t>
      </w:r>
      <w:r>
        <w:rPr>
          <w:i/>
        </w:rPr>
        <w:t>Excel</w:t>
      </w:r>
      <w:r>
        <w:t xml:space="preserve"> (</w:t>
      </w:r>
      <w:r>
        <w:rPr>
          <w:i/>
        </w:rPr>
        <w:t>Microsoft Office 2019</w:t>
      </w:r>
      <w:r>
        <w:t xml:space="preserve">), sendo posteriormente utilizados para a geração de gráficos no programa </w:t>
      </w:r>
      <w:r>
        <w:rPr>
          <w:i/>
        </w:rPr>
        <w:t xml:space="preserve">GraphPad </w:t>
      </w:r>
      <w:proofErr w:type="spellStart"/>
      <w:r>
        <w:rPr>
          <w:i/>
        </w:rPr>
        <w:t>Prism</w:t>
      </w:r>
      <w:proofErr w:type="spellEnd"/>
      <w:r>
        <w:t xml:space="preserve"> </w:t>
      </w:r>
      <w:r>
        <w:t xml:space="preserve">(V. 8.0.1.244.24), que também foi utilizado para os cálculos de média, mediana e desvio padrão. O teste t de </w:t>
      </w:r>
      <w:proofErr w:type="spellStart"/>
      <w:r>
        <w:t>Student</w:t>
      </w:r>
      <w:proofErr w:type="spellEnd"/>
      <w:r>
        <w:t xml:space="preserve"> foi utilizado para verificar diferenças estatisticamente significantes entre variáveis de distribuição normal. Para variáveis de distribuiç</w:t>
      </w:r>
      <w:r>
        <w:t xml:space="preserve">ão não normal, utilizou-se o teste Mann–Whitney, sendo considerados significativos valores de P ≤ 0,05. </w:t>
      </w:r>
    </w:p>
    <w:p w:rsidR="00BE1A68" w:rsidRDefault="00454288">
      <w:pPr>
        <w:spacing w:after="277" w:line="259" w:lineRule="auto"/>
        <w:ind w:left="0" w:firstLine="0"/>
        <w:jc w:val="left"/>
      </w:pPr>
      <w:r>
        <w:t xml:space="preserve"> </w:t>
      </w:r>
    </w:p>
    <w:p w:rsidR="00BE1A68" w:rsidRDefault="00454288">
      <w:pPr>
        <w:pStyle w:val="Ttulo2"/>
        <w:spacing w:after="276" w:line="259" w:lineRule="auto"/>
        <w:ind w:left="766" w:right="339" w:hanging="406"/>
      </w:pPr>
      <w:bookmarkStart w:id="33" w:name="_Toc32377"/>
      <w:r>
        <w:t xml:space="preserve">ASPECTOS ÉTICOS </w:t>
      </w:r>
      <w:bookmarkEnd w:id="33"/>
    </w:p>
    <w:p w:rsidR="00BE1A68" w:rsidRDefault="00454288">
      <w:pPr>
        <w:spacing w:after="0"/>
        <w:ind w:left="-5" w:right="339"/>
      </w:pPr>
      <w:r>
        <w:t xml:space="preserve"> </w:t>
      </w:r>
      <w:r>
        <w:t xml:space="preserve">O projeto foi aprovado pela Faculdade de Medicina da Bahia, Universidade Federal da Bahia, e pela Comissão Nacional de Ética em Pesquisa (CAAE: </w:t>
      </w:r>
    </w:p>
    <w:p w:rsidR="00BE1A68" w:rsidRDefault="00454288">
      <w:pPr>
        <w:spacing w:after="276" w:line="259" w:lineRule="auto"/>
        <w:ind w:left="-5" w:right="339"/>
      </w:pPr>
      <w:r>
        <w:t xml:space="preserve">81315517.1.0000.5577). </w:t>
      </w:r>
    </w:p>
    <w:p w:rsidR="00BE1A68" w:rsidRDefault="00454288">
      <w:pPr>
        <w:spacing w:after="0" w:line="259" w:lineRule="auto"/>
        <w:ind w:left="0" w:firstLine="0"/>
        <w:jc w:val="left"/>
      </w:pPr>
      <w:r>
        <w:t xml:space="preserve"> </w:t>
      </w:r>
      <w:r>
        <w:tab/>
      </w:r>
      <w:r>
        <w:rPr>
          <w:b/>
        </w:rPr>
        <w:t xml:space="preserve"> </w:t>
      </w:r>
    </w:p>
    <w:p w:rsidR="00BE1A68" w:rsidRDefault="00454288">
      <w:pPr>
        <w:pStyle w:val="Ttulo1"/>
        <w:spacing w:after="273"/>
        <w:ind w:left="705" w:right="0" w:hanging="360"/>
        <w:jc w:val="left"/>
      </w:pPr>
      <w:bookmarkStart w:id="34" w:name="_Toc32378"/>
      <w:r>
        <w:t xml:space="preserve">RESULTADOS </w:t>
      </w:r>
      <w:bookmarkEnd w:id="34"/>
    </w:p>
    <w:p w:rsidR="00BE1A68" w:rsidRDefault="00454288">
      <w:pPr>
        <w:spacing w:after="273" w:line="259" w:lineRule="auto"/>
        <w:ind w:left="0" w:firstLine="0"/>
        <w:jc w:val="left"/>
      </w:pPr>
      <w:r>
        <w:t xml:space="preserve"> </w:t>
      </w:r>
    </w:p>
    <w:p w:rsidR="00BE1A68" w:rsidRDefault="00454288">
      <w:pPr>
        <w:ind w:left="-15" w:right="339" w:firstLine="360"/>
      </w:pPr>
      <w:r>
        <w:t xml:space="preserve">Comparações de parâmetros clínicos (Tabela 1) revelaram que ambos os </w:t>
      </w:r>
      <w:r>
        <w:t xml:space="preserve">grupos, IDRM+ e IDRM-, são semelhantes em idade (p = 0,564) e distribuição de acordo com o sexo (p = 0,516). </w:t>
      </w:r>
    </w:p>
    <w:p w:rsidR="00BE1A68" w:rsidRDefault="00454288">
      <w:pPr>
        <w:ind w:left="-15" w:right="339" w:firstLine="360"/>
      </w:pPr>
      <w:r>
        <w:t>Quanto a aspectos histopatológicos (Tabela 2), a porcentagem de área inflamada na biópsia foi ligeiramente maior no IDRM-, mas não mostrou diferen</w:t>
      </w:r>
      <w:r>
        <w:t xml:space="preserve">ça significativa entre ambos os grupos (p = 0,266). Essa inflamação apresentou macrófagos, linfócitos, raros neutrófilos e esteve intercalada por áreas de necrose, às vezes com a formação de granulomas. Não houve diferença significativa entre os grupos em </w:t>
      </w:r>
      <w:r>
        <w:t>termos de necrose (p = 0,361). Curiosamente, os granulomas foram observados significativamente mais em pacientes com IDRM+ (p = 0,005): 60% dessas biópsias apresentaram granulomas, em contraste aos apenas 15% das biópsias IDRM- que apresentaram granulomas.</w:t>
      </w:r>
      <w:r>
        <w:t xml:space="preserve">  </w:t>
      </w:r>
    </w:p>
    <w:p w:rsidR="00BE1A68" w:rsidRDefault="00454288">
      <w:pPr>
        <w:ind w:left="-15" w:right="339" w:firstLine="360"/>
      </w:pPr>
      <w:r>
        <w:lastRenderedPageBreak/>
        <w:t xml:space="preserve">Plasmócitos estiveram significativamente mais presentes nos pacientes IDRM- (p = 0,001). Interessantemente, além disso, houve uma relação inversa entre a presença de granulomas e o número de plasmócitos em todas as biópsias analisadas (p = 0,038). </w:t>
      </w:r>
    </w:p>
    <w:p w:rsidR="00BE1A68" w:rsidRDefault="00454288">
      <w:pPr>
        <w:ind w:left="-15" w:right="339" w:firstLine="360"/>
      </w:pPr>
      <w:r>
        <w:t>O nú</w:t>
      </w:r>
      <w:r>
        <w:t>mero de amastigotas detectadas pelo IHQ (Tabela 3) presentes foi significativamente maior nas biópsias IDRM- (p = 0,032). A análise comparativa do perfil celular inflamatório dos grupos IDRM+ e IDRM- revelou que as células mais frequentes, em ambos os grup</w:t>
      </w:r>
      <w:r>
        <w:t>os, são os macrófagos CD68</w:t>
      </w:r>
      <w:r>
        <w:rPr>
          <w:vertAlign w:val="superscript"/>
        </w:rPr>
        <w:t>+</w:t>
      </w:r>
      <w:r>
        <w:t xml:space="preserve">, mas as quantidades dessas células não diferem entre as biópsias IDRM+ e IDRM- (p = 0,951). </w:t>
      </w:r>
    </w:p>
    <w:p w:rsidR="00BE1A68" w:rsidRDefault="00454288">
      <w:pPr>
        <w:ind w:left="-15" w:right="339" w:firstLine="360"/>
      </w:pPr>
      <w:r>
        <w:t xml:space="preserve"> Os linfócitos T CD8</w:t>
      </w:r>
      <w:r>
        <w:rPr>
          <w:vertAlign w:val="superscript"/>
        </w:rPr>
        <w:t>+</w:t>
      </w:r>
      <w:r>
        <w:t xml:space="preserve"> são mais frequentes em indivíduos IDRM-, bem como as marcações para </w:t>
      </w:r>
      <w:proofErr w:type="spellStart"/>
      <w:r>
        <w:t>granzima</w:t>
      </w:r>
      <w:proofErr w:type="spellEnd"/>
      <w:r>
        <w:t xml:space="preserve"> B</w:t>
      </w:r>
      <w:r>
        <w:rPr>
          <w:vertAlign w:val="superscript"/>
        </w:rPr>
        <w:t>+</w:t>
      </w:r>
      <w:r>
        <w:t xml:space="preserve"> e linfócitos B CD20</w:t>
      </w:r>
      <w:r>
        <w:rPr>
          <w:vertAlign w:val="superscript"/>
        </w:rPr>
        <w:t>+</w:t>
      </w:r>
      <w:r>
        <w:t>, porém a dif</w:t>
      </w:r>
      <w:r>
        <w:t>erença das quantidades desses marcadores em ambos os grupos não foi significativa (respectivamente, p = 0,397, p = 0,272 e p = 0,537). A expressão de IL-1β</w:t>
      </w:r>
      <w:r>
        <w:rPr>
          <w:vertAlign w:val="superscript"/>
        </w:rPr>
        <w:t>+</w:t>
      </w:r>
      <w:r>
        <w:t xml:space="preserve"> também foi maior e não significativamente diferente no grupo IDRM- (p = 0,668). Por sua vez, o marc</w:t>
      </w:r>
      <w:r>
        <w:t>ador CD57</w:t>
      </w:r>
      <w:r>
        <w:rPr>
          <w:vertAlign w:val="superscript"/>
        </w:rPr>
        <w:t>+</w:t>
      </w:r>
      <w:r>
        <w:t xml:space="preserve"> foi o único mais presente no grupo IDRM+, porém também sem significância estatística (p = 0,147). </w:t>
      </w:r>
    </w:p>
    <w:p w:rsidR="00BE1A68" w:rsidRDefault="00454288">
      <w:pPr>
        <w:spacing w:after="273" w:line="259" w:lineRule="auto"/>
        <w:ind w:left="360" w:firstLine="0"/>
        <w:jc w:val="left"/>
      </w:pPr>
      <w:r>
        <w:t xml:space="preserve"> </w:t>
      </w:r>
    </w:p>
    <w:p w:rsidR="00BE1A68" w:rsidRDefault="00454288">
      <w:pPr>
        <w:spacing w:after="0" w:line="259" w:lineRule="auto"/>
        <w:ind w:left="360" w:firstLine="0"/>
        <w:jc w:val="left"/>
      </w:pPr>
      <w:r>
        <w:t xml:space="preserve"> </w:t>
      </w:r>
    </w:p>
    <w:tbl>
      <w:tblPr>
        <w:tblStyle w:val="TableGrid"/>
        <w:tblW w:w="8496" w:type="dxa"/>
        <w:tblInd w:w="5" w:type="dxa"/>
        <w:tblCellMar>
          <w:top w:w="15" w:type="dxa"/>
          <w:left w:w="0" w:type="dxa"/>
          <w:bottom w:w="0" w:type="dxa"/>
          <w:right w:w="52" w:type="dxa"/>
        </w:tblCellMar>
        <w:tblLook w:val="04A0" w:firstRow="1" w:lastRow="0" w:firstColumn="1" w:lastColumn="0" w:noHBand="0" w:noVBand="1"/>
      </w:tblPr>
      <w:tblGrid>
        <w:gridCol w:w="3085"/>
        <w:gridCol w:w="408"/>
        <w:gridCol w:w="1774"/>
        <w:gridCol w:w="1755"/>
        <w:gridCol w:w="1474"/>
      </w:tblGrid>
      <w:tr w:rsidR="00BE1A68">
        <w:trPr>
          <w:trHeight w:val="699"/>
        </w:trPr>
        <w:tc>
          <w:tcPr>
            <w:tcW w:w="5267" w:type="dxa"/>
            <w:gridSpan w:val="3"/>
            <w:tcBorders>
              <w:top w:val="single" w:sz="4" w:space="0" w:color="000000"/>
              <w:left w:val="single" w:sz="4" w:space="0" w:color="FFFFFF"/>
              <w:bottom w:val="single" w:sz="4" w:space="0" w:color="000000"/>
              <w:right w:val="nil"/>
            </w:tcBorders>
          </w:tcPr>
          <w:p w:rsidR="00BE1A68" w:rsidRDefault="00454288">
            <w:pPr>
              <w:spacing w:after="0" w:line="259" w:lineRule="auto"/>
              <w:ind w:left="108" w:firstLine="0"/>
            </w:pPr>
            <w:r>
              <w:rPr>
                <w:b/>
                <w:sz w:val="20"/>
              </w:rPr>
              <w:t xml:space="preserve">Tabela 1: Características demográficas dos </w:t>
            </w:r>
            <w:proofErr w:type="spellStart"/>
            <w:r>
              <w:rPr>
                <w:b/>
                <w:sz w:val="20"/>
              </w:rPr>
              <w:t>pacient</w:t>
            </w:r>
            <w:proofErr w:type="spellEnd"/>
            <w:r>
              <w:rPr>
                <w:b/>
                <w:sz w:val="20"/>
              </w:rPr>
              <w:t xml:space="preserve"> </w:t>
            </w:r>
            <w:proofErr w:type="spellStart"/>
            <w:r>
              <w:rPr>
                <w:b/>
                <w:sz w:val="20"/>
              </w:rPr>
              <w:t>intradermorreação</w:t>
            </w:r>
            <w:proofErr w:type="spellEnd"/>
            <w:r>
              <w:rPr>
                <w:b/>
                <w:sz w:val="20"/>
              </w:rPr>
              <w:t xml:space="preserve"> de Montenegro (IDRM)+ ou IDRM- </w:t>
            </w:r>
          </w:p>
        </w:tc>
        <w:tc>
          <w:tcPr>
            <w:tcW w:w="1755" w:type="dxa"/>
            <w:tcBorders>
              <w:top w:val="single" w:sz="4" w:space="0" w:color="000000"/>
              <w:left w:val="nil"/>
              <w:bottom w:val="single" w:sz="4" w:space="0" w:color="000000"/>
              <w:right w:val="nil"/>
            </w:tcBorders>
          </w:tcPr>
          <w:p w:rsidR="00BE1A68" w:rsidRDefault="00454288">
            <w:pPr>
              <w:tabs>
                <w:tab w:val="center" w:pos="494"/>
                <w:tab w:val="right" w:pos="1703"/>
              </w:tabs>
              <w:spacing w:after="0" w:line="259" w:lineRule="auto"/>
              <w:ind w:left="-51" w:firstLine="0"/>
              <w:jc w:val="left"/>
            </w:pPr>
            <w:r>
              <w:rPr>
                <w:b/>
                <w:sz w:val="20"/>
              </w:rPr>
              <w:t xml:space="preserve">es </w:t>
            </w:r>
            <w:r>
              <w:rPr>
                <w:b/>
                <w:sz w:val="20"/>
              </w:rPr>
              <w:tab/>
              <w:t xml:space="preserve">com </w:t>
            </w:r>
            <w:r>
              <w:rPr>
                <w:b/>
                <w:sz w:val="20"/>
              </w:rPr>
              <w:tab/>
            </w:r>
            <w:proofErr w:type="spellStart"/>
            <w:r>
              <w:rPr>
                <w:b/>
                <w:sz w:val="20"/>
              </w:rPr>
              <w:t>leishmani</w:t>
            </w:r>
            <w:proofErr w:type="spellEnd"/>
          </w:p>
        </w:tc>
        <w:tc>
          <w:tcPr>
            <w:tcW w:w="1474" w:type="dxa"/>
            <w:tcBorders>
              <w:top w:val="single" w:sz="4" w:space="0" w:color="000000"/>
              <w:left w:val="nil"/>
              <w:bottom w:val="single" w:sz="4" w:space="0" w:color="000000"/>
              <w:right w:val="single" w:sz="4" w:space="0" w:color="FFFFFF"/>
            </w:tcBorders>
          </w:tcPr>
          <w:p w:rsidR="00BE1A68" w:rsidRDefault="00454288">
            <w:pPr>
              <w:tabs>
                <w:tab w:val="center" w:pos="743"/>
                <w:tab w:val="right" w:pos="1422"/>
              </w:tabs>
              <w:spacing w:after="0" w:line="259" w:lineRule="auto"/>
              <w:ind w:left="-57" w:firstLine="0"/>
              <w:jc w:val="left"/>
            </w:pPr>
            <w:proofErr w:type="spellStart"/>
            <w:r>
              <w:rPr>
                <w:b/>
                <w:sz w:val="20"/>
              </w:rPr>
              <w:t>ose</w:t>
            </w:r>
            <w:proofErr w:type="spellEnd"/>
            <w:r>
              <w:rPr>
                <w:b/>
                <w:sz w:val="20"/>
              </w:rPr>
              <w:t xml:space="preserve"> </w:t>
            </w:r>
            <w:r>
              <w:rPr>
                <w:b/>
                <w:sz w:val="20"/>
              </w:rPr>
              <w:tab/>
              <w:t xml:space="preserve">cutânea </w:t>
            </w:r>
            <w:r>
              <w:rPr>
                <w:b/>
                <w:sz w:val="20"/>
              </w:rPr>
              <w:tab/>
              <w:t xml:space="preserve">e </w:t>
            </w:r>
          </w:p>
        </w:tc>
      </w:tr>
      <w:tr w:rsidR="00BE1A68">
        <w:trPr>
          <w:trHeight w:val="696"/>
        </w:trPr>
        <w:tc>
          <w:tcPr>
            <w:tcW w:w="3085" w:type="dxa"/>
            <w:tcBorders>
              <w:top w:val="single" w:sz="4" w:space="0" w:color="000000"/>
              <w:left w:val="single" w:sz="4" w:space="0" w:color="FFFFFF"/>
              <w:bottom w:val="nil"/>
              <w:right w:val="single" w:sz="4" w:space="0" w:color="FFFFFF"/>
            </w:tcBorders>
          </w:tcPr>
          <w:p w:rsidR="00BE1A68" w:rsidRDefault="00454288">
            <w:pPr>
              <w:spacing w:after="0" w:line="259" w:lineRule="auto"/>
              <w:ind w:left="108" w:firstLine="0"/>
              <w:jc w:val="left"/>
            </w:pPr>
            <w:r>
              <w:rPr>
                <w:b/>
                <w:sz w:val="20"/>
              </w:rPr>
              <w:t xml:space="preserve">Variáveis </w:t>
            </w:r>
          </w:p>
        </w:tc>
        <w:tc>
          <w:tcPr>
            <w:tcW w:w="408" w:type="dxa"/>
            <w:tcBorders>
              <w:top w:val="single" w:sz="4" w:space="0" w:color="000000"/>
              <w:left w:val="single" w:sz="4" w:space="0" w:color="FFFFFF"/>
              <w:bottom w:val="nil"/>
              <w:right w:val="single" w:sz="4" w:space="0" w:color="FFFFFF"/>
            </w:tcBorders>
          </w:tcPr>
          <w:p w:rsidR="00BE1A68" w:rsidRDefault="00454288">
            <w:pPr>
              <w:spacing w:after="0" w:line="259" w:lineRule="auto"/>
              <w:ind w:left="106" w:firstLine="0"/>
              <w:jc w:val="left"/>
            </w:pPr>
            <w:r>
              <w:rPr>
                <w:b/>
                <w:sz w:val="20"/>
              </w:rPr>
              <w:t xml:space="preserve"> </w:t>
            </w:r>
          </w:p>
        </w:tc>
        <w:tc>
          <w:tcPr>
            <w:tcW w:w="1774" w:type="dxa"/>
            <w:tcBorders>
              <w:top w:val="single" w:sz="4" w:space="0" w:color="000000"/>
              <w:left w:val="single" w:sz="4" w:space="0" w:color="FFFFFF"/>
              <w:bottom w:val="nil"/>
              <w:right w:val="single" w:sz="4" w:space="0" w:color="FFFFFF"/>
            </w:tcBorders>
          </w:tcPr>
          <w:p w:rsidR="00BE1A68" w:rsidRDefault="00454288">
            <w:pPr>
              <w:spacing w:after="94" w:line="259" w:lineRule="auto"/>
              <w:ind w:left="50" w:firstLine="0"/>
              <w:jc w:val="center"/>
            </w:pPr>
            <w:r>
              <w:rPr>
                <w:b/>
                <w:sz w:val="20"/>
              </w:rPr>
              <w:t xml:space="preserve">IDRM+ </w:t>
            </w:r>
          </w:p>
          <w:p w:rsidR="00BE1A68" w:rsidRDefault="00454288">
            <w:pPr>
              <w:spacing w:after="0" w:line="259" w:lineRule="auto"/>
              <w:ind w:left="50" w:firstLine="0"/>
              <w:jc w:val="center"/>
            </w:pPr>
            <w:r>
              <w:rPr>
                <w:b/>
                <w:sz w:val="20"/>
              </w:rPr>
              <w:t xml:space="preserve">(N = 16) </w:t>
            </w:r>
          </w:p>
        </w:tc>
        <w:tc>
          <w:tcPr>
            <w:tcW w:w="1755" w:type="dxa"/>
            <w:tcBorders>
              <w:top w:val="single" w:sz="4" w:space="0" w:color="000000"/>
              <w:left w:val="single" w:sz="4" w:space="0" w:color="FFFFFF"/>
              <w:bottom w:val="nil"/>
              <w:right w:val="single" w:sz="4" w:space="0" w:color="FFFFFF"/>
            </w:tcBorders>
          </w:tcPr>
          <w:p w:rsidR="00BE1A68" w:rsidRDefault="00454288">
            <w:pPr>
              <w:spacing w:after="94" w:line="259" w:lineRule="auto"/>
              <w:ind w:left="48" w:firstLine="0"/>
              <w:jc w:val="center"/>
            </w:pPr>
            <w:r>
              <w:rPr>
                <w:b/>
                <w:sz w:val="20"/>
              </w:rPr>
              <w:t xml:space="preserve">IDRM- </w:t>
            </w:r>
          </w:p>
          <w:p w:rsidR="00BE1A68" w:rsidRDefault="00454288">
            <w:pPr>
              <w:spacing w:after="0" w:line="259" w:lineRule="auto"/>
              <w:ind w:left="49" w:firstLine="0"/>
              <w:jc w:val="center"/>
            </w:pPr>
            <w:r>
              <w:rPr>
                <w:b/>
                <w:sz w:val="20"/>
              </w:rPr>
              <w:t xml:space="preserve">(N = 26) </w:t>
            </w:r>
          </w:p>
        </w:tc>
        <w:tc>
          <w:tcPr>
            <w:tcW w:w="1474" w:type="dxa"/>
            <w:tcBorders>
              <w:top w:val="single" w:sz="4" w:space="0" w:color="000000"/>
              <w:left w:val="single" w:sz="4" w:space="0" w:color="FFFFFF"/>
              <w:bottom w:val="nil"/>
              <w:right w:val="single" w:sz="4" w:space="0" w:color="FFFFFF"/>
            </w:tcBorders>
          </w:tcPr>
          <w:p w:rsidR="00BE1A68" w:rsidRDefault="00454288">
            <w:pPr>
              <w:spacing w:after="0" w:line="259" w:lineRule="auto"/>
              <w:ind w:left="49" w:firstLine="0"/>
              <w:jc w:val="center"/>
            </w:pPr>
            <w:r>
              <w:rPr>
                <w:b/>
                <w:sz w:val="20"/>
              </w:rPr>
              <w:t xml:space="preserve">Valor de p </w:t>
            </w:r>
          </w:p>
        </w:tc>
      </w:tr>
    </w:tbl>
    <w:p w:rsidR="00BE1A68" w:rsidRDefault="00454288">
      <w:pPr>
        <w:tabs>
          <w:tab w:val="center" w:pos="3195"/>
          <w:tab w:val="center" w:pos="4383"/>
          <w:tab w:val="center" w:pos="6148"/>
          <w:tab w:val="center" w:pos="7761"/>
        </w:tabs>
        <w:spacing w:after="111" w:line="259" w:lineRule="auto"/>
        <w:ind w:left="0" w:firstLine="0"/>
        <w:jc w:val="left"/>
      </w:pPr>
      <w:r>
        <w:rPr>
          <w:sz w:val="20"/>
        </w:rPr>
        <w:t xml:space="preserve">Idade em anos (média ± DP) </w:t>
      </w:r>
      <w:r>
        <w:rPr>
          <w:sz w:val="20"/>
        </w:rPr>
        <w:tab/>
        <w:t xml:space="preserve"> </w:t>
      </w:r>
      <w:r>
        <w:rPr>
          <w:sz w:val="20"/>
        </w:rPr>
        <w:tab/>
        <w:t xml:space="preserve">32,47 ± 14,35 </w:t>
      </w:r>
      <w:r>
        <w:rPr>
          <w:sz w:val="20"/>
        </w:rPr>
        <w:tab/>
        <w:t xml:space="preserve">29,64 ± 15,19 </w:t>
      </w:r>
      <w:r>
        <w:rPr>
          <w:sz w:val="20"/>
        </w:rPr>
        <w:tab/>
        <w:t xml:space="preserve">0,564 </w:t>
      </w:r>
    </w:p>
    <w:p w:rsidR="00BE1A68" w:rsidRDefault="00454288">
      <w:pPr>
        <w:tabs>
          <w:tab w:val="center" w:pos="3195"/>
          <w:tab w:val="center" w:pos="4383"/>
          <w:tab w:val="center" w:pos="6147"/>
          <w:tab w:val="center" w:pos="7761"/>
        </w:tabs>
        <w:spacing w:after="0" w:line="259" w:lineRule="auto"/>
        <w:ind w:left="0" w:firstLine="0"/>
        <w:jc w:val="left"/>
      </w:pPr>
      <w:r>
        <w:rPr>
          <w:sz w:val="20"/>
        </w:rPr>
        <w:t xml:space="preserve">N.º de homens (%) </w:t>
      </w:r>
      <w:r>
        <w:rPr>
          <w:sz w:val="20"/>
        </w:rPr>
        <w:tab/>
        <w:t xml:space="preserve"> </w:t>
      </w:r>
      <w:r>
        <w:rPr>
          <w:sz w:val="20"/>
        </w:rPr>
        <w:tab/>
        <w:t xml:space="preserve">10 (62,5) </w:t>
      </w:r>
      <w:r>
        <w:rPr>
          <w:sz w:val="20"/>
        </w:rPr>
        <w:tab/>
        <w:t xml:space="preserve">14 (53,8) </w:t>
      </w:r>
      <w:r>
        <w:rPr>
          <w:sz w:val="20"/>
        </w:rPr>
        <w:tab/>
        <w:t xml:space="preserve">0,516 </w:t>
      </w:r>
    </w:p>
    <w:tbl>
      <w:tblPr>
        <w:tblStyle w:val="TableGrid"/>
        <w:tblW w:w="8496" w:type="dxa"/>
        <w:tblInd w:w="5" w:type="dxa"/>
        <w:tblCellMar>
          <w:top w:w="14" w:type="dxa"/>
          <w:left w:w="0" w:type="dxa"/>
          <w:bottom w:w="67" w:type="dxa"/>
          <w:right w:w="0" w:type="dxa"/>
        </w:tblCellMar>
        <w:tblLook w:val="04A0" w:firstRow="1" w:lastRow="0" w:firstColumn="1" w:lastColumn="0" w:noHBand="0" w:noVBand="1"/>
      </w:tblPr>
      <w:tblGrid>
        <w:gridCol w:w="3492"/>
        <w:gridCol w:w="224"/>
        <w:gridCol w:w="370"/>
        <w:gridCol w:w="1180"/>
        <w:gridCol w:w="385"/>
        <w:gridCol w:w="1546"/>
        <w:gridCol w:w="1299"/>
      </w:tblGrid>
      <w:tr w:rsidR="00BE1A68">
        <w:trPr>
          <w:trHeight w:val="583"/>
        </w:trPr>
        <w:tc>
          <w:tcPr>
            <w:tcW w:w="3493" w:type="dxa"/>
            <w:tcBorders>
              <w:top w:val="single" w:sz="4" w:space="0" w:color="000000"/>
              <w:left w:val="nil"/>
              <w:bottom w:val="single" w:sz="4" w:space="0" w:color="000000"/>
              <w:right w:val="nil"/>
            </w:tcBorders>
          </w:tcPr>
          <w:p w:rsidR="00BE1A68" w:rsidRDefault="00454288">
            <w:pPr>
              <w:spacing w:after="0" w:line="259" w:lineRule="auto"/>
              <w:ind w:left="-5" w:firstLine="0"/>
              <w:jc w:val="left"/>
            </w:pPr>
            <w:r>
              <w:t xml:space="preserve"> </w:t>
            </w:r>
          </w:p>
        </w:tc>
        <w:tc>
          <w:tcPr>
            <w:tcW w:w="224" w:type="dxa"/>
            <w:tcBorders>
              <w:top w:val="single" w:sz="4" w:space="0" w:color="000000"/>
              <w:left w:val="nil"/>
              <w:bottom w:val="single" w:sz="4" w:space="0" w:color="000000"/>
              <w:right w:val="nil"/>
            </w:tcBorders>
          </w:tcPr>
          <w:p w:rsidR="00BE1A68" w:rsidRDefault="00BE1A68">
            <w:pPr>
              <w:spacing w:after="160" w:line="259" w:lineRule="auto"/>
              <w:ind w:left="0" w:firstLine="0"/>
              <w:jc w:val="left"/>
            </w:pPr>
          </w:p>
        </w:tc>
        <w:tc>
          <w:tcPr>
            <w:tcW w:w="1550" w:type="dxa"/>
            <w:gridSpan w:val="2"/>
            <w:tcBorders>
              <w:top w:val="single" w:sz="4" w:space="0" w:color="000000"/>
              <w:left w:val="nil"/>
              <w:bottom w:val="single" w:sz="4" w:space="0" w:color="000000"/>
              <w:right w:val="nil"/>
            </w:tcBorders>
          </w:tcPr>
          <w:p w:rsidR="00BE1A68" w:rsidRDefault="00BE1A68">
            <w:pPr>
              <w:spacing w:after="160" w:line="259" w:lineRule="auto"/>
              <w:ind w:left="0" w:firstLine="0"/>
              <w:jc w:val="left"/>
            </w:pPr>
          </w:p>
        </w:tc>
        <w:tc>
          <w:tcPr>
            <w:tcW w:w="384" w:type="dxa"/>
            <w:tcBorders>
              <w:top w:val="single" w:sz="4" w:space="0" w:color="000000"/>
              <w:left w:val="nil"/>
              <w:bottom w:val="single" w:sz="4" w:space="0" w:color="000000"/>
              <w:right w:val="nil"/>
            </w:tcBorders>
          </w:tcPr>
          <w:p w:rsidR="00BE1A68" w:rsidRDefault="00BE1A68">
            <w:pPr>
              <w:spacing w:after="160" w:line="259" w:lineRule="auto"/>
              <w:ind w:left="0" w:firstLine="0"/>
              <w:jc w:val="left"/>
            </w:pPr>
          </w:p>
        </w:tc>
        <w:tc>
          <w:tcPr>
            <w:tcW w:w="1546" w:type="dxa"/>
            <w:tcBorders>
              <w:top w:val="single" w:sz="4" w:space="0" w:color="000000"/>
              <w:left w:val="nil"/>
              <w:bottom w:val="single" w:sz="4" w:space="0" w:color="000000"/>
              <w:right w:val="nil"/>
            </w:tcBorders>
          </w:tcPr>
          <w:p w:rsidR="00BE1A68" w:rsidRDefault="00BE1A68">
            <w:pPr>
              <w:spacing w:after="160" w:line="259" w:lineRule="auto"/>
              <w:ind w:left="0" w:firstLine="0"/>
              <w:jc w:val="left"/>
            </w:pPr>
          </w:p>
        </w:tc>
        <w:tc>
          <w:tcPr>
            <w:tcW w:w="1299" w:type="dxa"/>
            <w:tcBorders>
              <w:top w:val="single" w:sz="4" w:space="0" w:color="000000"/>
              <w:left w:val="nil"/>
              <w:bottom w:val="single" w:sz="4" w:space="0" w:color="000000"/>
              <w:right w:val="nil"/>
            </w:tcBorders>
          </w:tcPr>
          <w:p w:rsidR="00BE1A68" w:rsidRDefault="00BE1A68">
            <w:pPr>
              <w:spacing w:after="160" w:line="259" w:lineRule="auto"/>
              <w:ind w:left="0" w:firstLine="0"/>
              <w:jc w:val="left"/>
            </w:pPr>
          </w:p>
        </w:tc>
      </w:tr>
      <w:tr w:rsidR="00BE1A68">
        <w:trPr>
          <w:trHeight w:val="701"/>
        </w:trPr>
        <w:tc>
          <w:tcPr>
            <w:tcW w:w="5267" w:type="dxa"/>
            <w:gridSpan w:val="4"/>
            <w:tcBorders>
              <w:top w:val="single" w:sz="4" w:space="0" w:color="000000"/>
              <w:left w:val="nil"/>
              <w:bottom w:val="single" w:sz="4" w:space="0" w:color="000000"/>
              <w:right w:val="nil"/>
            </w:tcBorders>
          </w:tcPr>
          <w:p w:rsidR="00BE1A68" w:rsidRDefault="00454288">
            <w:pPr>
              <w:spacing w:after="0" w:line="259" w:lineRule="auto"/>
              <w:ind w:left="108" w:firstLine="0"/>
            </w:pPr>
            <w:r>
              <w:rPr>
                <w:b/>
                <w:sz w:val="20"/>
              </w:rPr>
              <w:t xml:space="preserve">Tabela 2: Características histopatológicas </w:t>
            </w:r>
            <w:r>
              <w:rPr>
                <w:b/>
                <w:sz w:val="20"/>
              </w:rPr>
              <w:t xml:space="preserve">dos </w:t>
            </w:r>
            <w:proofErr w:type="spellStart"/>
            <w:r>
              <w:rPr>
                <w:b/>
                <w:sz w:val="20"/>
              </w:rPr>
              <w:t>pacien</w:t>
            </w:r>
            <w:proofErr w:type="spellEnd"/>
            <w:r>
              <w:rPr>
                <w:b/>
                <w:sz w:val="20"/>
              </w:rPr>
              <w:t xml:space="preserve"> </w:t>
            </w:r>
            <w:proofErr w:type="spellStart"/>
            <w:r>
              <w:rPr>
                <w:b/>
                <w:sz w:val="20"/>
              </w:rPr>
              <w:t>intradermorreação</w:t>
            </w:r>
            <w:proofErr w:type="spellEnd"/>
            <w:r>
              <w:rPr>
                <w:b/>
                <w:sz w:val="20"/>
              </w:rPr>
              <w:t xml:space="preserve"> de Montenegro (IDRM)+ ou IDRM- </w:t>
            </w:r>
          </w:p>
        </w:tc>
        <w:tc>
          <w:tcPr>
            <w:tcW w:w="384" w:type="dxa"/>
            <w:tcBorders>
              <w:top w:val="single" w:sz="4" w:space="0" w:color="000000"/>
              <w:left w:val="nil"/>
              <w:bottom w:val="single" w:sz="4" w:space="0" w:color="000000"/>
              <w:right w:val="nil"/>
            </w:tcBorders>
          </w:tcPr>
          <w:p w:rsidR="00BE1A68" w:rsidRDefault="00454288">
            <w:pPr>
              <w:spacing w:after="0" w:line="259" w:lineRule="auto"/>
              <w:ind w:left="-20" w:firstLine="0"/>
              <w:jc w:val="left"/>
            </w:pPr>
            <w:proofErr w:type="spellStart"/>
            <w:r>
              <w:rPr>
                <w:b/>
                <w:sz w:val="20"/>
              </w:rPr>
              <w:t>tes</w:t>
            </w:r>
            <w:proofErr w:type="spellEnd"/>
            <w:r>
              <w:rPr>
                <w:b/>
                <w:sz w:val="20"/>
              </w:rPr>
              <w:t xml:space="preserve"> </w:t>
            </w:r>
          </w:p>
        </w:tc>
        <w:tc>
          <w:tcPr>
            <w:tcW w:w="1546" w:type="dxa"/>
            <w:tcBorders>
              <w:top w:val="single" w:sz="4" w:space="0" w:color="000000"/>
              <w:left w:val="nil"/>
              <w:bottom w:val="single" w:sz="4" w:space="0" w:color="000000"/>
              <w:right w:val="nil"/>
            </w:tcBorders>
          </w:tcPr>
          <w:p w:rsidR="00BE1A68" w:rsidRDefault="00454288">
            <w:pPr>
              <w:spacing w:after="0" w:line="259" w:lineRule="auto"/>
              <w:ind w:left="7" w:firstLine="0"/>
            </w:pPr>
            <w:r>
              <w:rPr>
                <w:b/>
                <w:sz w:val="20"/>
              </w:rPr>
              <w:t xml:space="preserve">com </w:t>
            </w:r>
            <w:proofErr w:type="spellStart"/>
            <w:r>
              <w:rPr>
                <w:b/>
                <w:sz w:val="20"/>
              </w:rPr>
              <w:t>leishmanios</w:t>
            </w:r>
            <w:proofErr w:type="spellEnd"/>
          </w:p>
        </w:tc>
        <w:tc>
          <w:tcPr>
            <w:tcW w:w="1299" w:type="dxa"/>
            <w:tcBorders>
              <w:top w:val="single" w:sz="4" w:space="0" w:color="000000"/>
              <w:left w:val="nil"/>
              <w:bottom w:val="single" w:sz="4" w:space="0" w:color="000000"/>
              <w:right w:val="nil"/>
            </w:tcBorders>
          </w:tcPr>
          <w:p w:rsidR="00BE1A68" w:rsidRDefault="00454288">
            <w:pPr>
              <w:spacing w:after="0" w:line="259" w:lineRule="auto"/>
              <w:ind w:left="-7" w:firstLine="0"/>
            </w:pPr>
            <w:r>
              <w:rPr>
                <w:b/>
                <w:sz w:val="20"/>
              </w:rPr>
              <w:t xml:space="preserve">e cutânea e </w:t>
            </w:r>
          </w:p>
        </w:tc>
      </w:tr>
      <w:tr w:rsidR="00BE1A68">
        <w:trPr>
          <w:trHeight w:val="648"/>
        </w:trPr>
        <w:tc>
          <w:tcPr>
            <w:tcW w:w="3493" w:type="dxa"/>
            <w:tcBorders>
              <w:top w:val="single" w:sz="4" w:space="0" w:color="000000"/>
              <w:left w:val="single" w:sz="4" w:space="0" w:color="FFFFFF"/>
              <w:bottom w:val="nil"/>
              <w:right w:val="nil"/>
            </w:tcBorders>
          </w:tcPr>
          <w:p w:rsidR="00BE1A68" w:rsidRDefault="00454288">
            <w:pPr>
              <w:spacing w:after="0" w:line="259" w:lineRule="auto"/>
              <w:ind w:left="108" w:firstLine="0"/>
              <w:jc w:val="left"/>
            </w:pPr>
            <w:r>
              <w:rPr>
                <w:b/>
                <w:sz w:val="20"/>
              </w:rPr>
              <w:t xml:space="preserve">Variáveis </w:t>
            </w:r>
          </w:p>
        </w:tc>
        <w:tc>
          <w:tcPr>
            <w:tcW w:w="224" w:type="dxa"/>
            <w:tcBorders>
              <w:top w:val="single" w:sz="4" w:space="0" w:color="000000"/>
              <w:left w:val="nil"/>
              <w:bottom w:val="nil"/>
              <w:right w:val="single" w:sz="4" w:space="0" w:color="FFFFFF"/>
            </w:tcBorders>
          </w:tcPr>
          <w:p w:rsidR="00BE1A68" w:rsidRDefault="00BE1A68">
            <w:pPr>
              <w:spacing w:after="160" w:line="259" w:lineRule="auto"/>
              <w:ind w:left="0" w:firstLine="0"/>
              <w:jc w:val="left"/>
            </w:pPr>
          </w:p>
        </w:tc>
        <w:tc>
          <w:tcPr>
            <w:tcW w:w="370" w:type="dxa"/>
            <w:tcBorders>
              <w:top w:val="single" w:sz="4" w:space="0" w:color="000000"/>
              <w:left w:val="single" w:sz="4" w:space="0" w:color="FFFFFF"/>
              <w:bottom w:val="nil"/>
              <w:right w:val="single" w:sz="4" w:space="0" w:color="FFFFFF"/>
            </w:tcBorders>
          </w:tcPr>
          <w:p w:rsidR="00BE1A68" w:rsidRDefault="00454288">
            <w:pPr>
              <w:spacing w:after="0" w:line="259" w:lineRule="auto"/>
              <w:ind w:left="108" w:firstLine="0"/>
              <w:jc w:val="left"/>
            </w:pPr>
            <w:r>
              <w:rPr>
                <w:b/>
                <w:sz w:val="20"/>
              </w:rPr>
              <w:t xml:space="preserve"> </w:t>
            </w:r>
          </w:p>
        </w:tc>
        <w:tc>
          <w:tcPr>
            <w:tcW w:w="1565" w:type="dxa"/>
            <w:gridSpan w:val="2"/>
            <w:tcBorders>
              <w:top w:val="single" w:sz="4" w:space="0" w:color="000000"/>
              <w:left w:val="single" w:sz="4" w:space="0" w:color="FFFFFF"/>
              <w:bottom w:val="nil"/>
              <w:right w:val="single" w:sz="4" w:space="0" w:color="FFFFFF"/>
            </w:tcBorders>
          </w:tcPr>
          <w:p w:rsidR="00BE1A68" w:rsidRDefault="00454288">
            <w:pPr>
              <w:spacing w:after="96" w:line="259" w:lineRule="auto"/>
              <w:ind w:left="0" w:right="4" w:firstLine="0"/>
              <w:jc w:val="center"/>
            </w:pPr>
            <w:r>
              <w:rPr>
                <w:b/>
                <w:sz w:val="20"/>
              </w:rPr>
              <w:t xml:space="preserve">IDRM+ </w:t>
            </w:r>
          </w:p>
          <w:p w:rsidR="00BE1A68" w:rsidRDefault="00454288">
            <w:pPr>
              <w:spacing w:after="0" w:line="259" w:lineRule="auto"/>
              <w:ind w:left="0" w:right="4" w:firstLine="0"/>
              <w:jc w:val="center"/>
            </w:pPr>
            <w:r>
              <w:rPr>
                <w:b/>
                <w:sz w:val="20"/>
              </w:rPr>
              <w:t xml:space="preserve">(N = 16) </w:t>
            </w:r>
          </w:p>
        </w:tc>
        <w:tc>
          <w:tcPr>
            <w:tcW w:w="1546" w:type="dxa"/>
            <w:tcBorders>
              <w:top w:val="single" w:sz="4" w:space="0" w:color="000000"/>
              <w:left w:val="single" w:sz="4" w:space="0" w:color="FFFFFF"/>
              <w:bottom w:val="nil"/>
              <w:right w:val="single" w:sz="4" w:space="0" w:color="FFFFFF"/>
            </w:tcBorders>
          </w:tcPr>
          <w:p w:rsidR="00BE1A68" w:rsidRDefault="00454288">
            <w:pPr>
              <w:spacing w:after="96" w:line="259" w:lineRule="auto"/>
              <w:ind w:left="0" w:right="5" w:firstLine="0"/>
              <w:jc w:val="center"/>
            </w:pPr>
            <w:r>
              <w:rPr>
                <w:b/>
                <w:sz w:val="20"/>
              </w:rPr>
              <w:t xml:space="preserve">IDRM- </w:t>
            </w:r>
          </w:p>
          <w:p w:rsidR="00BE1A68" w:rsidRDefault="00454288">
            <w:pPr>
              <w:spacing w:after="0" w:line="259" w:lineRule="auto"/>
              <w:ind w:left="0" w:right="4" w:firstLine="0"/>
              <w:jc w:val="center"/>
            </w:pPr>
            <w:r>
              <w:rPr>
                <w:b/>
                <w:sz w:val="20"/>
              </w:rPr>
              <w:t xml:space="preserve">(N = 26) </w:t>
            </w:r>
          </w:p>
        </w:tc>
        <w:tc>
          <w:tcPr>
            <w:tcW w:w="1299" w:type="dxa"/>
            <w:tcBorders>
              <w:top w:val="single" w:sz="4" w:space="0" w:color="000000"/>
              <w:left w:val="single" w:sz="4" w:space="0" w:color="FFFFFF"/>
              <w:bottom w:val="nil"/>
              <w:right w:val="single" w:sz="4" w:space="0" w:color="FFFFFF"/>
            </w:tcBorders>
          </w:tcPr>
          <w:p w:rsidR="00BE1A68" w:rsidRDefault="00454288">
            <w:pPr>
              <w:spacing w:after="0" w:line="259" w:lineRule="auto"/>
              <w:ind w:left="0" w:right="6" w:firstLine="0"/>
              <w:jc w:val="center"/>
            </w:pPr>
            <w:r>
              <w:rPr>
                <w:b/>
                <w:sz w:val="20"/>
              </w:rPr>
              <w:t xml:space="preserve">Valor de p </w:t>
            </w:r>
          </w:p>
        </w:tc>
      </w:tr>
      <w:tr w:rsidR="00BE1A68">
        <w:trPr>
          <w:trHeight w:val="487"/>
        </w:trPr>
        <w:tc>
          <w:tcPr>
            <w:tcW w:w="3493" w:type="dxa"/>
            <w:tcBorders>
              <w:top w:val="nil"/>
              <w:left w:val="nil"/>
              <w:bottom w:val="nil"/>
              <w:right w:val="nil"/>
            </w:tcBorders>
          </w:tcPr>
          <w:p w:rsidR="00BE1A68" w:rsidRDefault="00454288">
            <w:pPr>
              <w:spacing w:after="0" w:line="259" w:lineRule="auto"/>
              <w:ind w:left="108" w:firstLine="0"/>
              <w:jc w:val="left"/>
            </w:pPr>
            <w:r>
              <w:rPr>
                <w:sz w:val="20"/>
              </w:rPr>
              <w:t xml:space="preserve">Porcentagem de inflamação (média ± DP) </w:t>
            </w:r>
          </w:p>
        </w:tc>
        <w:tc>
          <w:tcPr>
            <w:tcW w:w="593" w:type="dxa"/>
            <w:gridSpan w:val="2"/>
            <w:tcBorders>
              <w:top w:val="nil"/>
              <w:left w:val="nil"/>
              <w:bottom w:val="nil"/>
              <w:right w:val="nil"/>
            </w:tcBorders>
          </w:tcPr>
          <w:p w:rsidR="00BE1A68" w:rsidRDefault="00454288">
            <w:pPr>
              <w:spacing w:after="0" w:line="259" w:lineRule="auto"/>
              <w:ind w:left="120" w:firstLine="0"/>
              <w:jc w:val="center"/>
            </w:pPr>
            <w:r>
              <w:rPr>
                <w:sz w:val="20"/>
              </w:rPr>
              <w:t xml:space="preserve"> </w:t>
            </w:r>
          </w:p>
        </w:tc>
        <w:tc>
          <w:tcPr>
            <w:tcW w:w="1565" w:type="dxa"/>
            <w:gridSpan w:val="2"/>
            <w:tcBorders>
              <w:top w:val="nil"/>
              <w:left w:val="nil"/>
              <w:bottom w:val="nil"/>
              <w:right w:val="nil"/>
            </w:tcBorders>
          </w:tcPr>
          <w:p w:rsidR="00BE1A68" w:rsidRDefault="00454288">
            <w:pPr>
              <w:spacing w:after="0" w:line="259" w:lineRule="auto"/>
              <w:ind w:left="0" w:right="4" w:firstLine="0"/>
              <w:jc w:val="center"/>
            </w:pPr>
            <w:r>
              <w:rPr>
                <w:sz w:val="20"/>
              </w:rPr>
              <w:t xml:space="preserve">55,92 ± 20,99 </w:t>
            </w:r>
          </w:p>
        </w:tc>
        <w:tc>
          <w:tcPr>
            <w:tcW w:w="1546" w:type="dxa"/>
            <w:tcBorders>
              <w:top w:val="nil"/>
              <w:left w:val="nil"/>
              <w:bottom w:val="nil"/>
              <w:right w:val="nil"/>
            </w:tcBorders>
          </w:tcPr>
          <w:p w:rsidR="00BE1A68" w:rsidRDefault="00454288">
            <w:pPr>
              <w:spacing w:after="0" w:line="259" w:lineRule="auto"/>
              <w:ind w:left="0" w:right="5" w:firstLine="0"/>
              <w:jc w:val="center"/>
            </w:pPr>
            <w:r>
              <w:rPr>
                <w:sz w:val="20"/>
              </w:rPr>
              <w:t xml:space="preserve">63,94 ± 23,74 </w:t>
            </w:r>
          </w:p>
        </w:tc>
        <w:tc>
          <w:tcPr>
            <w:tcW w:w="1299" w:type="dxa"/>
            <w:tcBorders>
              <w:top w:val="nil"/>
              <w:left w:val="nil"/>
              <w:bottom w:val="nil"/>
              <w:right w:val="nil"/>
            </w:tcBorders>
          </w:tcPr>
          <w:p w:rsidR="00BE1A68" w:rsidRDefault="00454288">
            <w:pPr>
              <w:spacing w:after="0" w:line="259" w:lineRule="auto"/>
              <w:ind w:left="0" w:right="2" w:firstLine="0"/>
              <w:jc w:val="center"/>
            </w:pPr>
            <w:r>
              <w:rPr>
                <w:sz w:val="20"/>
              </w:rPr>
              <w:t xml:space="preserve">0,266 </w:t>
            </w:r>
          </w:p>
        </w:tc>
      </w:tr>
      <w:tr w:rsidR="00BE1A68">
        <w:trPr>
          <w:trHeight w:val="620"/>
        </w:trPr>
        <w:tc>
          <w:tcPr>
            <w:tcW w:w="3493" w:type="dxa"/>
            <w:tcBorders>
              <w:top w:val="nil"/>
              <w:left w:val="nil"/>
              <w:bottom w:val="nil"/>
              <w:right w:val="nil"/>
            </w:tcBorders>
            <w:vAlign w:val="center"/>
          </w:tcPr>
          <w:p w:rsidR="00BE1A68" w:rsidRDefault="00454288">
            <w:pPr>
              <w:spacing w:after="0" w:line="259" w:lineRule="auto"/>
              <w:ind w:left="108" w:firstLine="0"/>
              <w:jc w:val="left"/>
            </w:pPr>
            <w:r>
              <w:rPr>
                <w:sz w:val="20"/>
              </w:rPr>
              <w:t xml:space="preserve">Porcentagem de </w:t>
            </w:r>
            <w:r>
              <w:rPr>
                <w:sz w:val="20"/>
              </w:rPr>
              <w:t xml:space="preserve">necrose (média ± DP) </w:t>
            </w:r>
          </w:p>
        </w:tc>
        <w:tc>
          <w:tcPr>
            <w:tcW w:w="593" w:type="dxa"/>
            <w:gridSpan w:val="2"/>
            <w:tcBorders>
              <w:top w:val="nil"/>
              <w:left w:val="nil"/>
              <w:bottom w:val="nil"/>
              <w:right w:val="nil"/>
            </w:tcBorders>
            <w:vAlign w:val="center"/>
          </w:tcPr>
          <w:p w:rsidR="00BE1A68" w:rsidRDefault="00454288">
            <w:pPr>
              <w:spacing w:after="0" w:line="259" w:lineRule="auto"/>
              <w:ind w:left="120" w:firstLine="0"/>
              <w:jc w:val="center"/>
            </w:pPr>
            <w:r>
              <w:rPr>
                <w:sz w:val="20"/>
              </w:rPr>
              <w:t xml:space="preserve"> </w:t>
            </w:r>
          </w:p>
        </w:tc>
        <w:tc>
          <w:tcPr>
            <w:tcW w:w="1565" w:type="dxa"/>
            <w:gridSpan w:val="2"/>
            <w:tcBorders>
              <w:top w:val="nil"/>
              <w:left w:val="nil"/>
              <w:bottom w:val="nil"/>
              <w:right w:val="nil"/>
            </w:tcBorders>
            <w:vAlign w:val="center"/>
          </w:tcPr>
          <w:p w:rsidR="00BE1A68" w:rsidRDefault="00454288">
            <w:pPr>
              <w:spacing w:after="0" w:line="259" w:lineRule="auto"/>
              <w:ind w:left="0" w:right="4" w:firstLine="0"/>
              <w:jc w:val="center"/>
            </w:pPr>
            <w:r>
              <w:rPr>
                <w:sz w:val="20"/>
              </w:rPr>
              <w:t xml:space="preserve">27,33 ± 24,54 </w:t>
            </w:r>
          </w:p>
        </w:tc>
        <w:tc>
          <w:tcPr>
            <w:tcW w:w="1546" w:type="dxa"/>
            <w:tcBorders>
              <w:top w:val="nil"/>
              <w:left w:val="nil"/>
              <w:bottom w:val="nil"/>
              <w:right w:val="nil"/>
            </w:tcBorders>
            <w:vAlign w:val="center"/>
          </w:tcPr>
          <w:p w:rsidR="00BE1A68" w:rsidRDefault="00454288">
            <w:pPr>
              <w:spacing w:after="0" w:line="259" w:lineRule="auto"/>
              <w:ind w:left="0" w:right="5" w:firstLine="0"/>
              <w:jc w:val="center"/>
            </w:pPr>
            <w:r>
              <w:rPr>
                <w:sz w:val="20"/>
              </w:rPr>
              <w:t xml:space="preserve">36,50 ± 17,78 </w:t>
            </w:r>
          </w:p>
        </w:tc>
        <w:tc>
          <w:tcPr>
            <w:tcW w:w="1299" w:type="dxa"/>
            <w:tcBorders>
              <w:top w:val="nil"/>
              <w:left w:val="nil"/>
              <w:bottom w:val="nil"/>
              <w:right w:val="nil"/>
            </w:tcBorders>
            <w:vAlign w:val="center"/>
          </w:tcPr>
          <w:p w:rsidR="00BE1A68" w:rsidRDefault="00454288">
            <w:pPr>
              <w:spacing w:after="0" w:line="259" w:lineRule="auto"/>
              <w:ind w:left="0" w:right="2" w:firstLine="0"/>
              <w:jc w:val="center"/>
            </w:pPr>
            <w:r>
              <w:rPr>
                <w:sz w:val="20"/>
              </w:rPr>
              <w:t xml:space="preserve">0,361 </w:t>
            </w:r>
          </w:p>
        </w:tc>
      </w:tr>
      <w:tr w:rsidR="00BE1A68">
        <w:trPr>
          <w:trHeight w:val="488"/>
        </w:trPr>
        <w:tc>
          <w:tcPr>
            <w:tcW w:w="3493" w:type="dxa"/>
            <w:tcBorders>
              <w:top w:val="nil"/>
              <w:left w:val="nil"/>
              <w:bottom w:val="nil"/>
              <w:right w:val="nil"/>
            </w:tcBorders>
            <w:vAlign w:val="bottom"/>
          </w:tcPr>
          <w:p w:rsidR="00BE1A68" w:rsidRDefault="00454288">
            <w:pPr>
              <w:spacing w:after="0" w:line="259" w:lineRule="auto"/>
              <w:ind w:left="108" w:firstLine="0"/>
              <w:jc w:val="left"/>
            </w:pPr>
            <w:r>
              <w:rPr>
                <w:sz w:val="20"/>
              </w:rPr>
              <w:t xml:space="preserve">N.º de biópsias com granulomas (%) </w:t>
            </w:r>
          </w:p>
        </w:tc>
        <w:tc>
          <w:tcPr>
            <w:tcW w:w="593" w:type="dxa"/>
            <w:gridSpan w:val="2"/>
            <w:tcBorders>
              <w:top w:val="nil"/>
              <w:left w:val="nil"/>
              <w:bottom w:val="nil"/>
              <w:right w:val="nil"/>
            </w:tcBorders>
            <w:vAlign w:val="bottom"/>
          </w:tcPr>
          <w:p w:rsidR="00BE1A68" w:rsidRDefault="00454288">
            <w:pPr>
              <w:spacing w:after="0" w:line="259" w:lineRule="auto"/>
              <w:ind w:left="120" w:firstLine="0"/>
              <w:jc w:val="center"/>
            </w:pPr>
            <w:r>
              <w:rPr>
                <w:sz w:val="20"/>
              </w:rPr>
              <w:t xml:space="preserve"> </w:t>
            </w:r>
          </w:p>
        </w:tc>
        <w:tc>
          <w:tcPr>
            <w:tcW w:w="1565" w:type="dxa"/>
            <w:gridSpan w:val="2"/>
            <w:tcBorders>
              <w:top w:val="nil"/>
              <w:left w:val="nil"/>
              <w:bottom w:val="nil"/>
              <w:right w:val="nil"/>
            </w:tcBorders>
            <w:vAlign w:val="bottom"/>
          </w:tcPr>
          <w:p w:rsidR="00BE1A68" w:rsidRDefault="00454288">
            <w:pPr>
              <w:spacing w:after="0" w:line="259" w:lineRule="auto"/>
              <w:ind w:left="0" w:right="5" w:firstLine="0"/>
              <w:jc w:val="center"/>
            </w:pPr>
            <w:r>
              <w:rPr>
                <w:sz w:val="20"/>
              </w:rPr>
              <w:t xml:space="preserve">9 (56,25) </w:t>
            </w:r>
          </w:p>
        </w:tc>
        <w:tc>
          <w:tcPr>
            <w:tcW w:w="1546" w:type="dxa"/>
            <w:tcBorders>
              <w:top w:val="nil"/>
              <w:left w:val="nil"/>
              <w:bottom w:val="nil"/>
              <w:right w:val="nil"/>
            </w:tcBorders>
            <w:vAlign w:val="bottom"/>
          </w:tcPr>
          <w:p w:rsidR="00BE1A68" w:rsidRDefault="00454288">
            <w:pPr>
              <w:spacing w:after="0" w:line="259" w:lineRule="auto"/>
              <w:ind w:left="0" w:right="4" w:firstLine="0"/>
              <w:jc w:val="center"/>
            </w:pPr>
            <w:r>
              <w:rPr>
                <w:sz w:val="20"/>
              </w:rPr>
              <w:t xml:space="preserve">4 (15,38) </w:t>
            </w:r>
          </w:p>
        </w:tc>
        <w:tc>
          <w:tcPr>
            <w:tcW w:w="1299" w:type="dxa"/>
            <w:tcBorders>
              <w:top w:val="nil"/>
              <w:left w:val="nil"/>
              <w:bottom w:val="nil"/>
              <w:right w:val="nil"/>
            </w:tcBorders>
            <w:vAlign w:val="bottom"/>
          </w:tcPr>
          <w:p w:rsidR="00BE1A68" w:rsidRDefault="00454288">
            <w:pPr>
              <w:spacing w:after="0" w:line="259" w:lineRule="auto"/>
              <w:ind w:left="0" w:right="2" w:firstLine="0"/>
              <w:jc w:val="center"/>
            </w:pPr>
            <w:r>
              <w:rPr>
                <w:sz w:val="20"/>
              </w:rPr>
              <w:t xml:space="preserve">0,005 </w:t>
            </w:r>
          </w:p>
        </w:tc>
      </w:tr>
      <w:tr w:rsidR="00BE1A68">
        <w:trPr>
          <w:trHeight w:val="408"/>
        </w:trPr>
        <w:tc>
          <w:tcPr>
            <w:tcW w:w="3493" w:type="dxa"/>
            <w:tcBorders>
              <w:top w:val="nil"/>
              <w:left w:val="nil"/>
              <w:bottom w:val="single" w:sz="4" w:space="0" w:color="000000"/>
              <w:right w:val="nil"/>
            </w:tcBorders>
          </w:tcPr>
          <w:p w:rsidR="00BE1A68" w:rsidRDefault="00454288">
            <w:pPr>
              <w:spacing w:after="0" w:line="259" w:lineRule="auto"/>
              <w:ind w:left="108" w:firstLine="0"/>
              <w:jc w:val="left"/>
            </w:pPr>
            <w:r>
              <w:rPr>
                <w:sz w:val="20"/>
              </w:rPr>
              <w:t xml:space="preserve">N.º de plasmócitos (média ± DP) </w:t>
            </w:r>
          </w:p>
        </w:tc>
        <w:tc>
          <w:tcPr>
            <w:tcW w:w="593" w:type="dxa"/>
            <w:gridSpan w:val="2"/>
            <w:tcBorders>
              <w:top w:val="nil"/>
              <w:left w:val="nil"/>
              <w:bottom w:val="single" w:sz="4" w:space="0" w:color="000000"/>
              <w:right w:val="nil"/>
            </w:tcBorders>
          </w:tcPr>
          <w:p w:rsidR="00BE1A68" w:rsidRDefault="00454288">
            <w:pPr>
              <w:spacing w:after="0" w:line="259" w:lineRule="auto"/>
              <w:ind w:left="120" w:firstLine="0"/>
              <w:jc w:val="center"/>
            </w:pPr>
            <w:r>
              <w:rPr>
                <w:sz w:val="20"/>
              </w:rPr>
              <w:t xml:space="preserve"> </w:t>
            </w:r>
          </w:p>
        </w:tc>
        <w:tc>
          <w:tcPr>
            <w:tcW w:w="1565" w:type="dxa"/>
            <w:gridSpan w:val="2"/>
            <w:tcBorders>
              <w:top w:val="nil"/>
              <w:left w:val="nil"/>
              <w:bottom w:val="single" w:sz="4" w:space="0" w:color="000000"/>
              <w:right w:val="nil"/>
            </w:tcBorders>
          </w:tcPr>
          <w:p w:rsidR="00BE1A68" w:rsidRDefault="00454288">
            <w:pPr>
              <w:spacing w:after="0" w:line="259" w:lineRule="auto"/>
              <w:ind w:left="0" w:right="5" w:firstLine="0"/>
              <w:jc w:val="center"/>
            </w:pPr>
            <w:r>
              <w:rPr>
                <w:sz w:val="20"/>
              </w:rPr>
              <w:t xml:space="preserve">33,14 ± 13,62 </w:t>
            </w:r>
          </w:p>
        </w:tc>
        <w:tc>
          <w:tcPr>
            <w:tcW w:w="1546" w:type="dxa"/>
            <w:tcBorders>
              <w:top w:val="nil"/>
              <w:left w:val="nil"/>
              <w:bottom w:val="single" w:sz="4" w:space="0" w:color="000000"/>
              <w:right w:val="nil"/>
            </w:tcBorders>
          </w:tcPr>
          <w:p w:rsidR="00BE1A68" w:rsidRDefault="00454288">
            <w:pPr>
              <w:spacing w:after="0" w:line="259" w:lineRule="auto"/>
              <w:ind w:left="0" w:right="5" w:firstLine="0"/>
              <w:jc w:val="center"/>
            </w:pPr>
            <w:r>
              <w:rPr>
                <w:sz w:val="20"/>
              </w:rPr>
              <w:t xml:space="preserve">56,00 ± 14,57 </w:t>
            </w:r>
          </w:p>
        </w:tc>
        <w:tc>
          <w:tcPr>
            <w:tcW w:w="1299" w:type="dxa"/>
            <w:tcBorders>
              <w:top w:val="nil"/>
              <w:left w:val="nil"/>
              <w:bottom w:val="single" w:sz="4" w:space="0" w:color="000000"/>
              <w:right w:val="nil"/>
            </w:tcBorders>
          </w:tcPr>
          <w:p w:rsidR="00BE1A68" w:rsidRDefault="00454288">
            <w:pPr>
              <w:spacing w:after="0" w:line="259" w:lineRule="auto"/>
              <w:ind w:left="0" w:right="2" w:firstLine="0"/>
              <w:jc w:val="center"/>
            </w:pPr>
            <w:r>
              <w:rPr>
                <w:sz w:val="20"/>
              </w:rPr>
              <w:t xml:space="preserve">0,001 </w:t>
            </w:r>
          </w:p>
        </w:tc>
      </w:tr>
    </w:tbl>
    <w:p w:rsidR="00BE1A68" w:rsidRDefault="00454288">
      <w:pPr>
        <w:spacing w:after="3" w:line="259" w:lineRule="auto"/>
        <w:ind w:left="0" w:firstLine="0"/>
        <w:jc w:val="left"/>
      </w:pPr>
      <w:r>
        <w:lastRenderedPageBreak/>
        <w:t xml:space="preserve"> </w:t>
      </w:r>
    </w:p>
    <w:tbl>
      <w:tblPr>
        <w:tblStyle w:val="TableGrid"/>
        <w:tblW w:w="8496" w:type="dxa"/>
        <w:tblInd w:w="5" w:type="dxa"/>
        <w:tblCellMar>
          <w:top w:w="0" w:type="dxa"/>
          <w:left w:w="0" w:type="dxa"/>
          <w:bottom w:w="0" w:type="dxa"/>
          <w:right w:w="62" w:type="dxa"/>
        </w:tblCellMar>
        <w:tblLook w:val="04A0" w:firstRow="1" w:lastRow="0" w:firstColumn="1" w:lastColumn="0" w:noHBand="0" w:noVBand="1"/>
      </w:tblPr>
      <w:tblGrid>
        <w:gridCol w:w="11"/>
        <w:gridCol w:w="3701"/>
        <w:gridCol w:w="10"/>
        <w:gridCol w:w="357"/>
        <w:gridCol w:w="10"/>
        <w:gridCol w:w="1555"/>
        <w:gridCol w:w="10"/>
        <w:gridCol w:w="1544"/>
        <w:gridCol w:w="412"/>
        <w:gridCol w:w="875"/>
        <w:gridCol w:w="11"/>
      </w:tblGrid>
      <w:tr w:rsidR="00BE1A68">
        <w:trPr>
          <w:gridBefore w:val="1"/>
          <w:wBefore w:w="10" w:type="dxa"/>
          <w:trHeight w:val="701"/>
        </w:trPr>
        <w:tc>
          <w:tcPr>
            <w:tcW w:w="8496" w:type="dxa"/>
            <w:gridSpan w:val="10"/>
            <w:tcBorders>
              <w:top w:val="single" w:sz="4" w:space="0" w:color="000000"/>
              <w:left w:val="single" w:sz="4" w:space="0" w:color="FFFFFF"/>
              <w:bottom w:val="single" w:sz="4" w:space="0" w:color="000000"/>
              <w:right w:val="single" w:sz="4" w:space="0" w:color="FFFFFF"/>
            </w:tcBorders>
          </w:tcPr>
          <w:p w:rsidR="00BE1A68" w:rsidRDefault="00454288">
            <w:pPr>
              <w:spacing w:after="0" w:line="259" w:lineRule="auto"/>
              <w:ind w:left="0" w:firstLine="0"/>
            </w:pPr>
            <w:r>
              <w:rPr>
                <w:b/>
                <w:sz w:val="20"/>
              </w:rPr>
              <w:t xml:space="preserve">Tabela 3: Aspectos </w:t>
            </w:r>
            <w:proofErr w:type="spellStart"/>
            <w:r>
              <w:rPr>
                <w:b/>
                <w:sz w:val="20"/>
              </w:rPr>
              <w:t>imuno-histoquímicos</w:t>
            </w:r>
            <w:proofErr w:type="spellEnd"/>
            <w:r>
              <w:rPr>
                <w:b/>
                <w:sz w:val="20"/>
              </w:rPr>
              <w:t xml:space="preserve"> </w:t>
            </w:r>
            <w:r>
              <w:rPr>
                <w:b/>
                <w:sz w:val="20"/>
              </w:rPr>
              <w:t xml:space="preserve">dos pacientes com leishmaniose cutânea e </w:t>
            </w:r>
            <w:proofErr w:type="spellStart"/>
            <w:r>
              <w:rPr>
                <w:b/>
                <w:sz w:val="20"/>
              </w:rPr>
              <w:t>intradermorreação</w:t>
            </w:r>
            <w:proofErr w:type="spellEnd"/>
            <w:r>
              <w:rPr>
                <w:b/>
                <w:sz w:val="20"/>
              </w:rPr>
              <w:t xml:space="preserve"> de Montenegro (IDRM)+ ou IDRM- </w:t>
            </w:r>
          </w:p>
        </w:tc>
      </w:tr>
      <w:tr w:rsidR="00BE1A68">
        <w:trPr>
          <w:gridBefore w:val="1"/>
          <w:wBefore w:w="10" w:type="dxa"/>
          <w:trHeight w:val="694"/>
        </w:trPr>
        <w:tc>
          <w:tcPr>
            <w:tcW w:w="3716" w:type="dxa"/>
            <w:gridSpan w:val="2"/>
            <w:tcBorders>
              <w:top w:val="single" w:sz="4" w:space="0" w:color="000000"/>
              <w:left w:val="single" w:sz="4" w:space="0" w:color="FFFFFF"/>
              <w:bottom w:val="nil"/>
              <w:right w:val="single" w:sz="4" w:space="0" w:color="FFFFFF"/>
            </w:tcBorders>
          </w:tcPr>
          <w:p w:rsidR="00BE1A68" w:rsidRDefault="00454288">
            <w:pPr>
              <w:spacing w:after="0" w:line="259" w:lineRule="auto"/>
              <w:ind w:left="0" w:firstLine="0"/>
              <w:jc w:val="left"/>
            </w:pPr>
            <w:r>
              <w:rPr>
                <w:b/>
                <w:sz w:val="20"/>
              </w:rPr>
              <w:t xml:space="preserve">Marcadores </w:t>
            </w:r>
            <w:proofErr w:type="spellStart"/>
            <w:r>
              <w:rPr>
                <w:b/>
                <w:sz w:val="20"/>
              </w:rPr>
              <w:t>imuno-histoquímicos</w:t>
            </w:r>
            <w:proofErr w:type="spellEnd"/>
            <w:r>
              <w:rPr>
                <w:b/>
                <w:sz w:val="20"/>
              </w:rPr>
              <w:t xml:space="preserve"> </w:t>
            </w:r>
          </w:p>
        </w:tc>
        <w:tc>
          <w:tcPr>
            <w:tcW w:w="367" w:type="dxa"/>
            <w:gridSpan w:val="2"/>
            <w:tcBorders>
              <w:top w:val="single" w:sz="4" w:space="0" w:color="000000"/>
              <w:left w:val="single" w:sz="4" w:space="0" w:color="FFFFFF"/>
              <w:bottom w:val="nil"/>
              <w:right w:val="single" w:sz="4" w:space="0" w:color="FFFFFF"/>
            </w:tcBorders>
          </w:tcPr>
          <w:p w:rsidR="00BE1A68" w:rsidRDefault="00454288">
            <w:pPr>
              <w:spacing w:after="0" w:line="259" w:lineRule="auto"/>
              <w:ind w:left="0" w:firstLine="0"/>
              <w:jc w:val="left"/>
            </w:pPr>
            <w:r>
              <w:rPr>
                <w:b/>
                <w:sz w:val="20"/>
              </w:rPr>
              <w:t xml:space="preserve"> </w:t>
            </w:r>
          </w:p>
        </w:tc>
        <w:tc>
          <w:tcPr>
            <w:tcW w:w="1567" w:type="dxa"/>
            <w:gridSpan w:val="2"/>
            <w:tcBorders>
              <w:top w:val="single" w:sz="4" w:space="0" w:color="000000"/>
              <w:left w:val="single" w:sz="4" w:space="0" w:color="FFFFFF"/>
              <w:bottom w:val="nil"/>
              <w:right w:val="single" w:sz="4" w:space="0" w:color="FFFFFF"/>
            </w:tcBorders>
          </w:tcPr>
          <w:p w:rsidR="00BE1A68" w:rsidRDefault="00454288">
            <w:pPr>
              <w:spacing w:after="96" w:line="259" w:lineRule="auto"/>
              <w:ind w:left="0" w:right="47" w:firstLine="0"/>
              <w:jc w:val="center"/>
            </w:pPr>
            <w:r>
              <w:rPr>
                <w:b/>
                <w:sz w:val="20"/>
              </w:rPr>
              <w:t xml:space="preserve">IDRM+ </w:t>
            </w:r>
          </w:p>
          <w:p w:rsidR="00BE1A68" w:rsidRDefault="00454288">
            <w:pPr>
              <w:spacing w:after="0" w:line="259" w:lineRule="auto"/>
              <w:ind w:left="0" w:right="48" w:firstLine="0"/>
              <w:jc w:val="center"/>
            </w:pPr>
            <w:r>
              <w:rPr>
                <w:b/>
                <w:sz w:val="20"/>
              </w:rPr>
              <w:t xml:space="preserve">(N = 16) </w:t>
            </w:r>
          </w:p>
        </w:tc>
        <w:tc>
          <w:tcPr>
            <w:tcW w:w="1546" w:type="dxa"/>
            <w:tcBorders>
              <w:top w:val="single" w:sz="4" w:space="0" w:color="000000"/>
              <w:left w:val="single" w:sz="4" w:space="0" w:color="FFFFFF"/>
              <w:bottom w:val="nil"/>
              <w:right w:val="single" w:sz="4" w:space="0" w:color="FFFFFF"/>
            </w:tcBorders>
          </w:tcPr>
          <w:p w:rsidR="00BE1A68" w:rsidRDefault="00454288">
            <w:pPr>
              <w:spacing w:after="96" w:line="259" w:lineRule="auto"/>
              <w:ind w:left="0" w:right="51" w:firstLine="0"/>
              <w:jc w:val="center"/>
            </w:pPr>
            <w:r>
              <w:rPr>
                <w:b/>
                <w:sz w:val="20"/>
              </w:rPr>
              <w:t xml:space="preserve">IDRM- </w:t>
            </w:r>
          </w:p>
          <w:p w:rsidR="00BE1A68" w:rsidRDefault="00454288">
            <w:pPr>
              <w:spacing w:after="0" w:line="259" w:lineRule="auto"/>
              <w:ind w:left="0" w:right="45" w:firstLine="0"/>
              <w:jc w:val="center"/>
            </w:pPr>
            <w:r>
              <w:rPr>
                <w:b/>
                <w:sz w:val="20"/>
              </w:rPr>
              <w:t xml:space="preserve">(N = 26) </w:t>
            </w:r>
          </w:p>
        </w:tc>
        <w:tc>
          <w:tcPr>
            <w:tcW w:w="1299" w:type="dxa"/>
            <w:gridSpan w:val="3"/>
            <w:tcBorders>
              <w:top w:val="single" w:sz="4" w:space="0" w:color="000000"/>
              <w:left w:val="single" w:sz="4" w:space="0" w:color="FFFFFF"/>
              <w:bottom w:val="nil"/>
              <w:right w:val="single" w:sz="4" w:space="0" w:color="FFFFFF"/>
            </w:tcBorders>
          </w:tcPr>
          <w:p w:rsidR="00BE1A68" w:rsidRDefault="00454288">
            <w:pPr>
              <w:spacing w:after="0" w:line="259" w:lineRule="auto"/>
              <w:ind w:left="0" w:right="51" w:firstLine="0"/>
              <w:jc w:val="center"/>
            </w:pPr>
            <w:r>
              <w:rPr>
                <w:b/>
                <w:sz w:val="20"/>
              </w:rPr>
              <w:t xml:space="preserve">Valor de p </w:t>
            </w:r>
          </w:p>
        </w:tc>
      </w:tr>
      <w:tr w:rsidR="00BE1A68">
        <w:trPr>
          <w:gridAfter w:val="1"/>
          <w:wAfter w:w="10" w:type="dxa"/>
          <w:trHeight w:val="284"/>
        </w:trPr>
        <w:tc>
          <w:tcPr>
            <w:tcW w:w="3716" w:type="dxa"/>
            <w:gridSpan w:val="2"/>
            <w:tcBorders>
              <w:top w:val="nil"/>
              <w:left w:val="nil"/>
              <w:bottom w:val="nil"/>
              <w:right w:val="nil"/>
            </w:tcBorders>
          </w:tcPr>
          <w:p w:rsidR="00BE1A68" w:rsidRDefault="00454288">
            <w:pPr>
              <w:spacing w:after="0" w:line="259" w:lineRule="auto"/>
              <w:ind w:left="113" w:firstLine="0"/>
              <w:jc w:val="left"/>
            </w:pPr>
            <w:r>
              <w:rPr>
                <w:sz w:val="20"/>
              </w:rPr>
              <w:t>N.º de amastigotas (média ± DP)</w:t>
            </w:r>
            <w:r>
              <w:rPr>
                <w:b/>
                <w:sz w:val="20"/>
              </w:rPr>
              <w:t xml:space="preserve"> </w:t>
            </w:r>
          </w:p>
        </w:tc>
        <w:tc>
          <w:tcPr>
            <w:tcW w:w="367" w:type="dxa"/>
            <w:gridSpan w:val="2"/>
            <w:tcBorders>
              <w:top w:val="nil"/>
              <w:left w:val="nil"/>
              <w:bottom w:val="nil"/>
              <w:right w:val="nil"/>
            </w:tcBorders>
          </w:tcPr>
          <w:p w:rsidR="00BE1A68" w:rsidRDefault="00454288">
            <w:pPr>
              <w:spacing w:after="0" w:line="259" w:lineRule="auto"/>
              <w:ind w:left="108" w:firstLine="0"/>
              <w:jc w:val="left"/>
            </w:pPr>
            <w:r>
              <w:rPr>
                <w:b/>
                <w:sz w:val="20"/>
              </w:rPr>
              <w:t xml:space="preserve"> </w:t>
            </w:r>
          </w:p>
        </w:tc>
        <w:tc>
          <w:tcPr>
            <w:tcW w:w="1567" w:type="dxa"/>
            <w:gridSpan w:val="2"/>
            <w:tcBorders>
              <w:top w:val="nil"/>
              <w:left w:val="nil"/>
              <w:bottom w:val="nil"/>
              <w:right w:val="nil"/>
            </w:tcBorders>
          </w:tcPr>
          <w:p w:rsidR="00BE1A68" w:rsidRDefault="00454288">
            <w:pPr>
              <w:spacing w:after="0" w:line="259" w:lineRule="auto"/>
              <w:ind w:left="112" w:firstLine="0"/>
              <w:jc w:val="center"/>
            </w:pPr>
            <w:r>
              <w:rPr>
                <w:sz w:val="20"/>
              </w:rPr>
              <w:t>79,86 ± 55,64</w:t>
            </w:r>
            <w:r>
              <w:rPr>
                <w:b/>
                <w:sz w:val="20"/>
              </w:rPr>
              <w:t xml:space="preserve"> </w:t>
            </w:r>
          </w:p>
        </w:tc>
        <w:tc>
          <w:tcPr>
            <w:tcW w:w="1969" w:type="dxa"/>
            <w:gridSpan w:val="3"/>
            <w:tcBorders>
              <w:top w:val="nil"/>
              <w:left w:val="nil"/>
              <w:bottom w:val="nil"/>
              <w:right w:val="nil"/>
            </w:tcBorders>
          </w:tcPr>
          <w:p w:rsidR="00BE1A68" w:rsidRDefault="00454288">
            <w:pPr>
              <w:spacing w:after="0" w:line="259" w:lineRule="auto"/>
              <w:ind w:left="219" w:firstLine="0"/>
              <w:jc w:val="left"/>
            </w:pPr>
            <w:r>
              <w:rPr>
                <w:sz w:val="20"/>
              </w:rPr>
              <w:t>165,6 ± 91,29</w:t>
            </w:r>
            <w:r>
              <w:rPr>
                <w:b/>
                <w:sz w:val="20"/>
              </w:rPr>
              <w:t xml:space="preserve"> </w:t>
            </w:r>
          </w:p>
        </w:tc>
        <w:tc>
          <w:tcPr>
            <w:tcW w:w="876" w:type="dxa"/>
            <w:tcBorders>
              <w:top w:val="nil"/>
              <w:left w:val="nil"/>
              <w:bottom w:val="nil"/>
              <w:right w:val="nil"/>
            </w:tcBorders>
          </w:tcPr>
          <w:p w:rsidR="00BE1A68" w:rsidRDefault="00454288">
            <w:pPr>
              <w:spacing w:after="0" w:line="259" w:lineRule="auto"/>
              <w:ind w:left="0" w:firstLine="0"/>
              <w:jc w:val="left"/>
            </w:pPr>
            <w:r>
              <w:rPr>
                <w:sz w:val="20"/>
              </w:rPr>
              <w:t>0,032</w:t>
            </w:r>
            <w:r>
              <w:rPr>
                <w:b/>
                <w:sz w:val="20"/>
              </w:rPr>
              <w:t xml:space="preserve"> </w:t>
            </w:r>
          </w:p>
        </w:tc>
      </w:tr>
      <w:tr w:rsidR="00BE1A68">
        <w:trPr>
          <w:gridAfter w:val="1"/>
          <w:wAfter w:w="10" w:type="dxa"/>
          <w:trHeight w:val="354"/>
        </w:trPr>
        <w:tc>
          <w:tcPr>
            <w:tcW w:w="3716" w:type="dxa"/>
            <w:gridSpan w:val="2"/>
            <w:tcBorders>
              <w:top w:val="nil"/>
              <w:left w:val="nil"/>
              <w:bottom w:val="nil"/>
              <w:right w:val="nil"/>
            </w:tcBorders>
          </w:tcPr>
          <w:p w:rsidR="00BE1A68" w:rsidRDefault="00454288">
            <w:pPr>
              <w:spacing w:after="0" w:line="259" w:lineRule="auto"/>
              <w:ind w:left="113" w:firstLine="0"/>
              <w:jc w:val="left"/>
            </w:pPr>
            <w:r>
              <w:rPr>
                <w:sz w:val="20"/>
              </w:rPr>
              <w:t>N.º de células CD8</w:t>
            </w:r>
            <w:r>
              <w:rPr>
                <w:sz w:val="20"/>
                <w:vertAlign w:val="superscript"/>
              </w:rPr>
              <w:t>+</w:t>
            </w:r>
            <w:r>
              <w:rPr>
                <w:sz w:val="20"/>
              </w:rPr>
              <w:t xml:space="preserve"> (média ± DP) </w:t>
            </w:r>
          </w:p>
        </w:tc>
        <w:tc>
          <w:tcPr>
            <w:tcW w:w="367" w:type="dxa"/>
            <w:gridSpan w:val="2"/>
            <w:tcBorders>
              <w:top w:val="nil"/>
              <w:left w:val="nil"/>
              <w:bottom w:val="nil"/>
              <w:right w:val="nil"/>
            </w:tcBorders>
          </w:tcPr>
          <w:p w:rsidR="00BE1A68" w:rsidRDefault="00454288">
            <w:pPr>
              <w:spacing w:after="0" w:line="259" w:lineRule="auto"/>
              <w:ind w:left="108" w:firstLine="0"/>
              <w:jc w:val="left"/>
            </w:pPr>
            <w:r>
              <w:rPr>
                <w:sz w:val="20"/>
              </w:rPr>
              <w:t xml:space="preserve"> </w:t>
            </w:r>
          </w:p>
        </w:tc>
        <w:tc>
          <w:tcPr>
            <w:tcW w:w="1567" w:type="dxa"/>
            <w:gridSpan w:val="2"/>
            <w:tcBorders>
              <w:top w:val="nil"/>
              <w:left w:val="nil"/>
              <w:bottom w:val="nil"/>
              <w:right w:val="nil"/>
            </w:tcBorders>
          </w:tcPr>
          <w:p w:rsidR="00BE1A68" w:rsidRDefault="00454288">
            <w:pPr>
              <w:spacing w:after="0" w:line="259" w:lineRule="auto"/>
              <w:ind w:left="112" w:firstLine="0"/>
              <w:jc w:val="center"/>
            </w:pPr>
            <w:r>
              <w:rPr>
                <w:sz w:val="20"/>
              </w:rPr>
              <w:t xml:space="preserve">149,0 ± 196,0 </w:t>
            </w:r>
          </w:p>
        </w:tc>
        <w:tc>
          <w:tcPr>
            <w:tcW w:w="1969" w:type="dxa"/>
            <w:gridSpan w:val="3"/>
            <w:tcBorders>
              <w:top w:val="nil"/>
              <w:left w:val="nil"/>
              <w:bottom w:val="nil"/>
              <w:right w:val="nil"/>
            </w:tcBorders>
          </w:tcPr>
          <w:p w:rsidR="00BE1A68" w:rsidRDefault="00454288">
            <w:pPr>
              <w:spacing w:after="0" w:line="259" w:lineRule="auto"/>
              <w:ind w:left="219" w:firstLine="0"/>
              <w:jc w:val="left"/>
            </w:pPr>
            <w:r>
              <w:rPr>
                <w:sz w:val="20"/>
              </w:rPr>
              <w:t xml:space="preserve">227,6 ± 346,2 </w:t>
            </w:r>
          </w:p>
        </w:tc>
        <w:tc>
          <w:tcPr>
            <w:tcW w:w="876" w:type="dxa"/>
            <w:tcBorders>
              <w:top w:val="nil"/>
              <w:left w:val="nil"/>
              <w:bottom w:val="nil"/>
              <w:right w:val="nil"/>
            </w:tcBorders>
          </w:tcPr>
          <w:p w:rsidR="00BE1A68" w:rsidRDefault="00454288">
            <w:pPr>
              <w:spacing w:after="0" w:line="259" w:lineRule="auto"/>
              <w:ind w:left="0" w:firstLine="0"/>
              <w:jc w:val="left"/>
            </w:pPr>
            <w:r>
              <w:rPr>
                <w:sz w:val="20"/>
              </w:rPr>
              <w:t xml:space="preserve">0,397 </w:t>
            </w:r>
          </w:p>
        </w:tc>
      </w:tr>
      <w:tr w:rsidR="00BE1A68">
        <w:trPr>
          <w:gridAfter w:val="1"/>
          <w:wAfter w:w="10" w:type="dxa"/>
          <w:trHeight w:val="354"/>
        </w:trPr>
        <w:tc>
          <w:tcPr>
            <w:tcW w:w="3716" w:type="dxa"/>
            <w:gridSpan w:val="2"/>
            <w:tcBorders>
              <w:top w:val="nil"/>
              <w:left w:val="nil"/>
              <w:bottom w:val="nil"/>
              <w:right w:val="nil"/>
            </w:tcBorders>
          </w:tcPr>
          <w:p w:rsidR="00BE1A68" w:rsidRDefault="00454288">
            <w:pPr>
              <w:spacing w:after="0" w:line="259" w:lineRule="auto"/>
              <w:ind w:left="113" w:firstLine="0"/>
              <w:jc w:val="left"/>
            </w:pPr>
            <w:r>
              <w:rPr>
                <w:sz w:val="20"/>
              </w:rPr>
              <w:t>N.º de células CD20</w:t>
            </w:r>
            <w:r>
              <w:rPr>
                <w:sz w:val="20"/>
                <w:vertAlign w:val="superscript"/>
              </w:rPr>
              <w:t>+</w:t>
            </w:r>
            <w:r>
              <w:rPr>
                <w:sz w:val="20"/>
              </w:rPr>
              <w:t xml:space="preserve"> (média ± DP) </w:t>
            </w:r>
          </w:p>
        </w:tc>
        <w:tc>
          <w:tcPr>
            <w:tcW w:w="367" w:type="dxa"/>
            <w:gridSpan w:val="2"/>
            <w:tcBorders>
              <w:top w:val="nil"/>
              <w:left w:val="nil"/>
              <w:bottom w:val="nil"/>
              <w:right w:val="nil"/>
            </w:tcBorders>
          </w:tcPr>
          <w:p w:rsidR="00BE1A68" w:rsidRDefault="00454288">
            <w:pPr>
              <w:spacing w:after="0" w:line="259" w:lineRule="auto"/>
              <w:ind w:left="108" w:firstLine="0"/>
              <w:jc w:val="left"/>
            </w:pPr>
            <w:r>
              <w:rPr>
                <w:sz w:val="20"/>
              </w:rPr>
              <w:t xml:space="preserve"> </w:t>
            </w:r>
          </w:p>
        </w:tc>
        <w:tc>
          <w:tcPr>
            <w:tcW w:w="1567" w:type="dxa"/>
            <w:gridSpan w:val="2"/>
            <w:tcBorders>
              <w:top w:val="nil"/>
              <w:left w:val="nil"/>
              <w:bottom w:val="nil"/>
              <w:right w:val="nil"/>
            </w:tcBorders>
          </w:tcPr>
          <w:p w:rsidR="00BE1A68" w:rsidRDefault="00454288">
            <w:pPr>
              <w:spacing w:after="0" w:line="259" w:lineRule="auto"/>
              <w:ind w:left="112" w:firstLine="0"/>
              <w:jc w:val="center"/>
            </w:pPr>
            <w:r>
              <w:rPr>
                <w:sz w:val="20"/>
              </w:rPr>
              <w:t xml:space="preserve">74,82 ± 110,4 </w:t>
            </w:r>
          </w:p>
        </w:tc>
        <w:tc>
          <w:tcPr>
            <w:tcW w:w="1969" w:type="dxa"/>
            <w:gridSpan w:val="3"/>
            <w:tcBorders>
              <w:top w:val="nil"/>
              <w:left w:val="nil"/>
              <w:bottom w:val="nil"/>
              <w:right w:val="nil"/>
            </w:tcBorders>
          </w:tcPr>
          <w:p w:rsidR="00BE1A68" w:rsidRDefault="00454288">
            <w:pPr>
              <w:spacing w:after="0" w:line="259" w:lineRule="auto"/>
              <w:ind w:left="219" w:firstLine="0"/>
              <w:jc w:val="left"/>
            </w:pPr>
            <w:r>
              <w:rPr>
                <w:sz w:val="20"/>
              </w:rPr>
              <w:t xml:space="preserve">112,5 ± 229,9 </w:t>
            </w:r>
          </w:p>
        </w:tc>
        <w:tc>
          <w:tcPr>
            <w:tcW w:w="876" w:type="dxa"/>
            <w:tcBorders>
              <w:top w:val="nil"/>
              <w:left w:val="nil"/>
              <w:bottom w:val="nil"/>
              <w:right w:val="nil"/>
            </w:tcBorders>
          </w:tcPr>
          <w:p w:rsidR="00BE1A68" w:rsidRDefault="00454288">
            <w:pPr>
              <w:spacing w:after="0" w:line="259" w:lineRule="auto"/>
              <w:ind w:left="0" w:firstLine="0"/>
              <w:jc w:val="left"/>
            </w:pPr>
            <w:r>
              <w:rPr>
                <w:sz w:val="20"/>
              </w:rPr>
              <w:t xml:space="preserve">0,537 </w:t>
            </w:r>
          </w:p>
        </w:tc>
      </w:tr>
      <w:tr w:rsidR="00BE1A68">
        <w:trPr>
          <w:gridAfter w:val="1"/>
          <w:wAfter w:w="10" w:type="dxa"/>
          <w:trHeight w:val="355"/>
        </w:trPr>
        <w:tc>
          <w:tcPr>
            <w:tcW w:w="3716" w:type="dxa"/>
            <w:gridSpan w:val="2"/>
            <w:tcBorders>
              <w:top w:val="nil"/>
              <w:left w:val="nil"/>
              <w:bottom w:val="nil"/>
              <w:right w:val="nil"/>
            </w:tcBorders>
          </w:tcPr>
          <w:p w:rsidR="00BE1A68" w:rsidRDefault="00454288">
            <w:pPr>
              <w:spacing w:after="0" w:line="259" w:lineRule="auto"/>
              <w:ind w:left="113" w:firstLine="0"/>
              <w:jc w:val="left"/>
            </w:pPr>
            <w:r>
              <w:rPr>
                <w:sz w:val="20"/>
              </w:rPr>
              <w:t>N.º de células CD57</w:t>
            </w:r>
            <w:r>
              <w:rPr>
                <w:sz w:val="20"/>
                <w:vertAlign w:val="superscript"/>
              </w:rPr>
              <w:t>+</w:t>
            </w:r>
            <w:r>
              <w:rPr>
                <w:sz w:val="20"/>
              </w:rPr>
              <w:t xml:space="preserve"> (média ± DP) </w:t>
            </w:r>
          </w:p>
        </w:tc>
        <w:tc>
          <w:tcPr>
            <w:tcW w:w="367" w:type="dxa"/>
            <w:gridSpan w:val="2"/>
            <w:tcBorders>
              <w:top w:val="nil"/>
              <w:left w:val="nil"/>
              <w:bottom w:val="nil"/>
              <w:right w:val="nil"/>
            </w:tcBorders>
          </w:tcPr>
          <w:p w:rsidR="00BE1A68" w:rsidRDefault="00454288">
            <w:pPr>
              <w:spacing w:after="0" w:line="259" w:lineRule="auto"/>
              <w:ind w:left="108" w:firstLine="0"/>
              <w:jc w:val="left"/>
            </w:pPr>
            <w:r>
              <w:rPr>
                <w:sz w:val="20"/>
              </w:rPr>
              <w:t xml:space="preserve"> </w:t>
            </w:r>
          </w:p>
        </w:tc>
        <w:tc>
          <w:tcPr>
            <w:tcW w:w="1567" w:type="dxa"/>
            <w:gridSpan w:val="2"/>
            <w:tcBorders>
              <w:top w:val="nil"/>
              <w:left w:val="nil"/>
              <w:bottom w:val="nil"/>
              <w:right w:val="nil"/>
            </w:tcBorders>
          </w:tcPr>
          <w:p w:rsidR="00BE1A68" w:rsidRDefault="00454288">
            <w:pPr>
              <w:spacing w:after="0" w:line="259" w:lineRule="auto"/>
              <w:ind w:left="112" w:firstLine="0"/>
              <w:jc w:val="center"/>
            </w:pPr>
            <w:r>
              <w:rPr>
                <w:sz w:val="20"/>
              </w:rPr>
              <w:t xml:space="preserve">29,17 ± 42,14 </w:t>
            </w:r>
          </w:p>
        </w:tc>
        <w:tc>
          <w:tcPr>
            <w:tcW w:w="1969" w:type="dxa"/>
            <w:gridSpan w:val="3"/>
            <w:tcBorders>
              <w:top w:val="nil"/>
              <w:left w:val="nil"/>
              <w:bottom w:val="nil"/>
              <w:right w:val="nil"/>
            </w:tcBorders>
          </w:tcPr>
          <w:p w:rsidR="00BE1A68" w:rsidRDefault="00454288">
            <w:pPr>
              <w:spacing w:after="0" w:line="259" w:lineRule="auto"/>
              <w:ind w:left="219" w:firstLine="0"/>
              <w:jc w:val="left"/>
            </w:pPr>
            <w:r>
              <w:rPr>
                <w:sz w:val="20"/>
              </w:rPr>
              <w:t xml:space="preserve">14,30 ± 20,81 </w:t>
            </w:r>
          </w:p>
        </w:tc>
        <w:tc>
          <w:tcPr>
            <w:tcW w:w="876" w:type="dxa"/>
            <w:tcBorders>
              <w:top w:val="nil"/>
              <w:left w:val="nil"/>
              <w:bottom w:val="nil"/>
              <w:right w:val="nil"/>
            </w:tcBorders>
          </w:tcPr>
          <w:p w:rsidR="00BE1A68" w:rsidRDefault="00454288">
            <w:pPr>
              <w:spacing w:after="0" w:line="259" w:lineRule="auto"/>
              <w:ind w:left="0" w:firstLine="0"/>
              <w:jc w:val="left"/>
            </w:pPr>
            <w:r>
              <w:rPr>
                <w:sz w:val="20"/>
              </w:rPr>
              <w:t xml:space="preserve">0,147 </w:t>
            </w:r>
          </w:p>
        </w:tc>
      </w:tr>
      <w:tr w:rsidR="00BE1A68">
        <w:trPr>
          <w:gridAfter w:val="1"/>
          <w:wAfter w:w="10" w:type="dxa"/>
          <w:trHeight w:val="355"/>
        </w:trPr>
        <w:tc>
          <w:tcPr>
            <w:tcW w:w="3716" w:type="dxa"/>
            <w:gridSpan w:val="2"/>
            <w:tcBorders>
              <w:top w:val="nil"/>
              <w:left w:val="nil"/>
              <w:bottom w:val="nil"/>
              <w:right w:val="nil"/>
            </w:tcBorders>
          </w:tcPr>
          <w:p w:rsidR="00BE1A68" w:rsidRDefault="00454288">
            <w:pPr>
              <w:spacing w:after="0" w:line="259" w:lineRule="auto"/>
              <w:ind w:left="113" w:firstLine="0"/>
              <w:jc w:val="left"/>
            </w:pPr>
            <w:r>
              <w:rPr>
                <w:sz w:val="20"/>
              </w:rPr>
              <w:t>N.º de células CD68</w:t>
            </w:r>
            <w:r>
              <w:rPr>
                <w:sz w:val="20"/>
                <w:vertAlign w:val="superscript"/>
              </w:rPr>
              <w:t>+</w:t>
            </w:r>
            <w:r>
              <w:rPr>
                <w:sz w:val="20"/>
              </w:rPr>
              <w:t xml:space="preserve"> </w:t>
            </w:r>
            <w:r>
              <w:rPr>
                <w:sz w:val="20"/>
              </w:rPr>
              <w:t xml:space="preserve">(média ± DP) </w:t>
            </w:r>
          </w:p>
        </w:tc>
        <w:tc>
          <w:tcPr>
            <w:tcW w:w="367" w:type="dxa"/>
            <w:gridSpan w:val="2"/>
            <w:tcBorders>
              <w:top w:val="nil"/>
              <w:left w:val="nil"/>
              <w:bottom w:val="nil"/>
              <w:right w:val="nil"/>
            </w:tcBorders>
          </w:tcPr>
          <w:p w:rsidR="00BE1A68" w:rsidRDefault="00454288">
            <w:pPr>
              <w:spacing w:after="0" w:line="259" w:lineRule="auto"/>
              <w:ind w:left="108" w:firstLine="0"/>
              <w:jc w:val="left"/>
            </w:pPr>
            <w:r>
              <w:rPr>
                <w:sz w:val="20"/>
              </w:rPr>
              <w:t xml:space="preserve"> </w:t>
            </w:r>
          </w:p>
        </w:tc>
        <w:tc>
          <w:tcPr>
            <w:tcW w:w="1567" w:type="dxa"/>
            <w:gridSpan w:val="2"/>
            <w:tcBorders>
              <w:top w:val="nil"/>
              <w:left w:val="nil"/>
              <w:bottom w:val="nil"/>
              <w:right w:val="nil"/>
            </w:tcBorders>
          </w:tcPr>
          <w:p w:rsidR="00BE1A68" w:rsidRDefault="00454288">
            <w:pPr>
              <w:spacing w:after="0" w:line="259" w:lineRule="auto"/>
              <w:ind w:left="112" w:firstLine="0"/>
              <w:jc w:val="center"/>
            </w:pPr>
            <w:r>
              <w:rPr>
                <w:sz w:val="20"/>
              </w:rPr>
              <w:t xml:space="preserve">376,9 ± 311,5 </w:t>
            </w:r>
          </w:p>
        </w:tc>
        <w:tc>
          <w:tcPr>
            <w:tcW w:w="1969" w:type="dxa"/>
            <w:gridSpan w:val="3"/>
            <w:tcBorders>
              <w:top w:val="nil"/>
              <w:left w:val="nil"/>
              <w:bottom w:val="nil"/>
              <w:right w:val="nil"/>
            </w:tcBorders>
          </w:tcPr>
          <w:p w:rsidR="00BE1A68" w:rsidRDefault="00454288">
            <w:pPr>
              <w:spacing w:after="0" w:line="259" w:lineRule="auto"/>
              <w:ind w:left="219" w:firstLine="0"/>
              <w:jc w:val="left"/>
            </w:pPr>
            <w:r>
              <w:rPr>
                <w:sz w:val="20"/>
              </w:rPr>
              <w:t xml:space="preserve">370,1 ± 386,1 </w:t>
            </w:r>
          </w:p>
        </w:tc>
        <w:tc>
          <w:tcPr>
            <w:tcW w:w="876" w:type="dxa"/>
            <w:tcBorders>
              <w:top w:val="nil"/>
              <w:left w:val="nil"/>
              <w:bottom w:val="nil"/>
              <w:right w:val="nil"/>
            </w:tcBorders>
          </w:tcPr>
          <w:p w:rsidR="00BE1A68" w:rsidRDefault="00454288">
            <w:pPr>
              <w:spacing w:after="0" w:line="259" w:lineRule="auto"/>
              <w:ind w:left="0" w:firstLine="0"/>
              <w:jc w:val="left"/>
            </w:pPr>
            <w:r>
              <w:rPr>
                <w:sz w:val="20"/>
              </w:rPr>
              <w:t xml:space="preserve">0,951 </w:t>
            </w:r>
          </w:p>
        </w:tc>
      </w:tr>
      <w:tr w:rsidR="00BE1A68">
        <w:trPr>
          <w:gridAfter w:val="1"/>
          <w:wAfter w:w="10" w:type="dxa"/>
          <w:trHeight w:val="355"/>
        </w:trPr>
        <w:tc>
          <w:tcPr>
            <w:tcW w:w="3716" w:type="dxa"/>
            <w:gridSpan w:val="2"/>
            <w:tcBorders>
              <w:top w:val="nil"/>
              <w:left w:val="nil"/>
              <w:bottom w:val="nil"/>
              <w:right w:val="nil"/>
            </w:tcBorders>
          </w:tcPr>
          <w:p w:rsidR="00BE1A68" w:rsidRDefault="00454288">
            <w:pPr>
              <w:spacing w:after="0" w:line="259" w:lineRule="auto"/>
              <w:ind w:left="113" w:firstLine="0"/>
              <w:jc w:val="left"/>
            </w:pPr>
            <w:r>
              <w:rPr>
                <w:sz w:val="20"/>
              </w:rPr>
              <w:t>N.º de células IL-1β</w:t>
            </w:r>
            <w:r>
              <w:rPr>
                <w:sz w:val="20"/>
                <w:vertAlign w:val="superscript"/>
              </w:rPr>
              <w:t>+</w:t>
            </w:r>
            <w:r>
              <w:rPr>
                <w:sz w:val="20"/>
              </w:rPr>
              <w:t xml:space="preserve"> (média ± DP) </w:t>
            </w:r>
          </w:p>
        </w:tc>
        <w:tc>
          <w:tcPr>
            <w:tcW w:w="367" w:type="dxa"/>
            <w:gridSpan w:val="2"/>
            <w:tcBorders>
              <w:top w:val="nil"/>
              <w:left w:val="nil"/>
              <w:bottom w:val="nil"/>
              <w:right w:val="nil"/>
            </w:tcBorders>
          </w:tcPr>
          <w:p w:rsidR="00BE1A68" w:rsidRDefault="00454288">
            <w:pPr>
              <w:spacing w:after="0" w:line="259" w:lineRule="auto"/>
              <w:ind w:left="108" w:firstLine="0"/>
              <w:jc w:val="left"/>
            </w:pPr>
            <w:r>
              <w:rPr>
                <w:sz w:val="20"/>
              </w:rPr>
              <w:t xml:space="preserve"> </w:t>
            </w:r>
          </w:p>
        </w:tc>
        <w:tc>
          <w:tcPr>
            <w:tcW w:w="1567" w:type="dxa"/>
            <w:gridSpan w:val="2"/>
            <w:tcBorders>
              <w:top w:val="nil"/>
              <w:left w:val="nil"/>
              <w:bottom w:val="nil"/>
              <w:right w:val="nil"/>
            </w:tcBorders>
          </w:tcPr>
          <w:p w:rsidR="00BE1A68" w:rsidRDefault="00454288">
            <w:pPr>
              <w:spacing w:after="0" w:line="259" w:lineRule="auto"/>
              <w:ind w:left="112" w:firstLine="0"/>
              <w:jc w:val="center"/>
            </w:pPr>
            <w:r>
              <w:rPr>
                <w:sz w:val="20"/>
              </w:rPr>
              <w:t xml:space="preserve">150,4 ± 294,0 </w:t>
            </w:r>
          </w:p>
        </w:tc>
        <w:tc>
          <w:tcPr>
            <w:tcW w:w="1969" w:type="dxa"/>
            <w:gridSpan w:val="3"/>
            <w:tcBorders>
              <w:top w:val="nil"/>
              <w:left w:val="nil"/>
              <w:bottom w:val="nil"/>
              <w:right w:val="nil"/>
            </w:tcBorders>
          </w:tcPr>
          <w:p w:rsidR="00BE1A68" w:rsidRDefault="00454288">
            <w:pPr>
              <w:spacing w:after="0" w:line="259" w:lineRule="auto"/>
              <w:ind w:left="219" w:firstLine="0"/>
              <w:jc w:val="left"/>
            </w:pPr>
            <w:r>
              <w:rPr>
                <w:sz w:val="20"/>
              </w:rPr>
              <w:t xml:space="preserve">203,6 ± 391,3 </w:t>
            </w:r>
          </w:p>
        </w:tc>
        <w:tc>
          <w:tcPr>
            <w:tcW w:w="876" w:type="dxa"/>
            <w:tcBorders>
              <w:top w:val="nil"/>
              <w:left w:val="nil"/>
              <w:bottom w:val="nil"/>
              <w:right w:val="nil"/>
            </w:tcBorders>
          </w:tcPr>
          <w:p w:rsidR="00BE1A68" w:rsidRDefault="00454288">
            <w:pPr>
              <w:spacing w:after="0" w:line="259" w:lineRule="auto"/>
              <w:ind w:left="0" w:firstLine="0"/>
              <w:jc w:val="left"/>
            </w:pPr>
            <w:r>
              <w:rPr>
                <w:sz w:val="20"/>
              </w:rPr>
              <w:t xml:space="preserve">0,668 </w:t>
            </w:r>
          </w:p>
        </w:tc>
      </w:tr>
      <w:tr w:rsidR="00BE1A68">
        <w:trPr>
          <w:gridAfter w:val="1"/>
          <w:wAfter w:w="10" w:type="dxa"/>
          <w:trHeight w:val="412"/>
        </w:trPr>
        <w:tc>
          <w:tcPr>
            <w:tcW w:w="3716" w:type="dxa"/>
            <w:gridSpan w:val="2"/>
            <w:tcBorders>
              <w:top w:val="nil"/>
              <w:left w:val="nil"/>
              <w:bottom w:val="single" w:sz="4" w:space="0" w:color="000000"/>
              <w:right w:val="nil"/>
            </w:tcBorders>
          </w:tcPr>
          <w:p w:rsidR="00BE1A68" w:rsidRDefault="00454288">
            <w:pPr>
              <w:spacing w:after="0" w:line="259" w:lineRule="auto"/>
              <w:ind w:left="113" w:firstLine="0"/>
              <w:jc w:val="left"/>
            </w:pPr>
            <w:r>
              <w:rPr>
                <w:sz w:val="20"/>
              </w:rPr>
              <w:t xml:space="preserve">N.º de células </w:t>
            </w:r>
            <w:proofErr w:type="spellStart"/>
            <w:r>
              <w:rPr>
                <w:sz w:val="20"/>
              </w:rPr>
              <w:t>granzima</w:t>
            </w:r>
            <w:proofErr w:type="spellEnd"/>
            <w:r>
              <w:rPr>
                <w:sz w:val="20"/>
              </w:rPr>
              <w:t xml:space="preserve"> B</w:t>
            </w:r>
            <w:r>
              <w:rPr>
                <w:sz w:val="20"/>
                <w:vertAlign w:val="superscript"/>
              </w:rPr>
              <w:t>+</w:t>
            </w:r>
            <w:r>
              <w:rPr>
                <w:sz w:val="20"/>
              </w:rPr>
              <w:t xml:space="preserve"> (média ± DP) </w:t>
            </w:r>
          </w:p>
        </w:tc>
        <w:tc>
          <w:tcPr>
            <w:tcW w:w="367" w:type="dxa"/>
            <w:gridSpan w:val="2"/>
            <w:tcBorders>
              <w:top w:val="nil"/>
              <w:left w:val="nil"/>
              <w:bottom w:val="single" w:sz="4" w:space="0" w:color="000000"/>
              <w:right w:val="nil"/>
            </w:tcBorders>
          </w:tcPr>
          <w:p w:rsidR="00BE1A68" w:rsidRDefault="00454288">
            <w:pPr>
              <w:spacing w:after="0" w:line="259" w:lineRule="auto"/>
              <w:ind w:left="108" w:firstLine="0"/>
              <w:jc w:val="left"/>
            </w:pPr>
            <w:r>
              <w:rPr>
                <w:sz w:val="20"/>
              </w:rPr>
              <w:t xml:space="preserve"> </w:t>
            </w:r>
          </w:p>
        </w:tc>
        <w:tc>
          <w:tcPr>
            <w:tcW w:w="1567" w:type="dxa"/>
            <w:gridSpan w:val="2"/>
            <w:tcBorders>
              <w:top w:val="nil"/>
              <w:left w:val="nil"/>
              <w:bottom w:val="single" w:sz="4" w:space="0" w:color="000000"/>
              <w:right w:val="nil"/>
            </w:tcBorders>
          </w:tcPr>
          <w:p w:rsidR="00BE1A68" w:rsidRDefault="00454288">
            <w:pPr>
              <w:spacing w:after="0" w:line="259" w:lineRule="auto"/>
              <w:ind w:left="112" w:firstLine="0"/>
              <w:jc w:val="center"/>
            </w:pPr>
            <w:r>
              <w:rPr>
                <w:sz w:val="20"/>
              </w:rPr>
              <w:t xml:space="preserve">32,56 ± 44,67 </w:t>
            </w:r>
          </w:p>
        </w:tc>
        <w:tc>
          <w:tcPr>
            <w:tcW w:w="1969" w:type="dxa"/>
            <w:gridSpan w:val="3"/>
            <w:tcBorders>
              <w:top w:val="nil"/>
              <w:left w:val="nil"/>
              <w:bottom w:val="single" w:sz="4" w:space="0" w:color="000000"/>
              <w:right w:val="nil"/>
            </w:tcBorders>
          </w:tcPr>
          <w:p w:rsidR="00BE1A68" w:rsidRDefault="00454288">
            <w:pPr>
              <w:spacing w:after="0" w:line="259" w:lineRule="auto"/>
              <w:ind w:left="219" w:firstLine="0"/>
              <w:jc w:val="left"/>
            </w:pPr>
            <w:r>
              <w:rPr>
                <w:sz w:val="20"/>
              </w:rPr>
              <w:t xml:space="preserve">52,52 ± 64,82 </w:t>
            </w:r>
          </w:p>
        </w:tc>
        <w:tc>
          <w:tcPr>
            <w:tcW w:w="876" w:type="dxa"/>
            <w:tcBorders>
              <w:top w:val="nil"/>
              <w:left w:val="nil"/>
              <w:bottom w:val="single" w:sz="4" w:space="0" w:color="000000"/>
              <w:right w:val="nil"/>
            </w:tcBorders>
          </w:tcPr>
          <w:p w:rsidR="00BE1A68" w:rsidRDefault="00454288">
            <w:pPr>
              <w:spacing w:after="0" w:line="259" w:lineRule="auto"/>
              <w:ind w:left="0" w:firstLine="0"/>
              <w:jc w:val="left"/>
            </w:pPr>
            <w:r>
              <w:rPr>
                <w:sz w:val="20"/>
              </w:rPr>
              <w:t xml:space="preserve">0,272 </w:t>
            </w:r>
          </w:p>
        </w:tc>
      </w:tr>
    </w:tbl>
    <w:p w:rsidR="00BE1A68" w:rsidRDefault="00454288">
      <w:pPr>
        <w:pStyle w:val="Ttulo1"/>
        <w:spacing w:after="273"/>
        <w:ind w:left="705" w:right="0" w:hanging="360"/>
        <w:jc w:val="left"/>
      </w:pPr>
      <w:bookmarkStart w:id="35" w:name="_Toc32379"/>
      <w:r>
        <w:t xml:space="preserve">DISCUSSÃO </w:t>
      </w:r>
      <w:bookmarkEnd w:id="35"/>
    </w:p>
    <w:p w:rsidR="00BE1A68" w:rsidRDefault="00454288">
      <w:pPr>
        <w:spacing w:after="273" w:line="259" w:lineRule="auto"/>
        <w:ind w:left="0" w:firstLine="0"/>
        <w:jc w:val="left"/>
      </w:pPr>
      <w:r>
        <w:t xml:space="preserve"> </w:t>
      </w:r>
    </w:p>
    <w:p w:rsidR="00BE1A68" w:rsidRDefault="00454288">
      <w:pPr>
        <w:spacing w:after="183"/>
        <w:ind w:left="-15" w:right="339" w:firstLine="360"/>
      </w:pPr>
      <w:r>
        <w:t>Em consonância com a literatura, a avaliação das biópsias de lesões ulcerosas de indivíduos com LC evidenciou infiltrado inflamatório crônico, constituído principalmente por células CD68</w:t>
      </w:r>
      <w:r>
        <w:rPr>
          <w:vertAlign w:val="superscript"/>
        </w:rPr>
        <w:t>+</w:t>
      </w:r>
      <w:r>
        <w:t xml:space="preserve"> em ambos os grupos</w:t>
      </w:r>
      <w:r>
        <w:rPr>
          <w:vertAlign w:val="superscript"/>
        </w:rPr>
        <w:t>19, 20</w:t>
      </w:r>
      <w:r>
        <w:t xml:space="preserve">. </w:t>
      </w:r>
    </w:p>
    <w:p w:rsidR="00BE1A68" w:rsidRDefault="00454288">
      <w:pPr>
        <w:ind w:left="-15" w:right="339" w:firstLine="360"/>
      </w:pPr>
      <w:r>
        <w:t xml:space="preserve">Embora a análise histopatológica </w:t>
      </w:r>
      <w:r>
        <w:t xml:space="preserve">tenha revelado níveis de inflamação e de necrose tissular semelhantes entre os grupos, a presença de granulomas é muito superior no grupo positivo, em concordância com a literatura. Os indivíduos com IDRM+ possuem maior ativação de células Th1, produtoras </w:t>
      </w:r>
      <w:r>
        <w:t xml:space="preserve">de IFN-γ. Essa citocina é extremamente importante para a ativação </w:t>
      </w:r>
      <w:proofErr w:type="spellStart"/>
      <w:r>
        <w:t>macrofágica</w:t>
      </w:r>
      <w:proofErr w:type="spellEnd"/>
      <w:r>
        <w:t>, que promove o controle parasitário de fato</w:t>
      </w:r>
      <w:r>
        <w:rPr>
          <w:vertAlign w:val="superscript"/>
        </w:rPr>
        <w:t>21, 22</w:t>
      </w:r>
      <w:r>
        <w:t>. Macrófagos ativados provocam dano tecidual e tendem a formar granulomas ocasionalmente. Nos indivíduos com IDRM-, a menor ativa</w:t>
      </w:r>
      <w:r>
        <w:t xml:space="preserve">ção de células Th1 dificulta a formação granulomatosa por causa dos baixos níveis dessa citocina. </w:t>
      </w:r>
    </w:p>
    <w:p w:rsidR="00BE1A68" w:rsidRDefault="00454288">
      <w:pPr>
        <w:ind w:left="-15" w:right="339" w:firstLine="360"/>
      </w:pPr>
      <w:r>
        <w:t>Também foi observada uma frequência maior de plasmócitos e células CD20</w:t>
      </w:r>
      <w:r>
        <w:rPr>
          <w:vertAlign w:val="superscript"/>
        </w:rPr>
        <w:t>+</w:t>
      </w:r>
      <w:r>
        <w:t xml:space="preserve"> (linfócitos B) nos indivíduos com IDRM-. Sendo a </w:t>
      </w:r>
      <w:r>
        <w:rPr>
          <w:i/>
        </w:rPr>
        <w:t xml:space="preserve">L. </w:t>
      </w:r>
      <w:proofErr w:type="spellStart"/>
      <w:r>
        <w:rPr>
          <w:i/>
        </w:rPr>
        <w:t>braziliensis</w:t>
      </w:r>
      <w:proofErr w:type="spellEnd"/>
      <w:r>
        <w:t xml:space="preserve"> um parasito intrace</w:t>
      </w:r>
      <w:r>
        <w:t>lular, mecanismos de defesa humoral são ineficazes em seu controle</w:t>
      </w:r>
      <w:r>
        <w:rPr>
          <w:vertAlign w:val="superscript"/>
        </w:rPr>
        <w:t>23, 24</w:t>
      </w:r>
      <w:r>
        <w:t>. No entanto, esses tipos celulares já foram positivamente correlacionados à extensão de necrose tissular na LC</w:t>
      </w:r>
      <w:r>
        <w:rPr>
          <w:vertAlign w:val="superscript"/>
        </w:rPr>
        <w:t>25</w:t>
      </w:r>
      <w:r>
        <w:t>. É razoável supor que o dano tecidual, em indivíduos com LC, tenha par</w:t>
      </w:r>
      <w:r>
        <w:t>ticipação de células plasmáticas e linfócitos CD20</w:t>
      </w:r>
      <w:r>
        <w:rPr>
          <w:vertAlign w:val="superscript"/>
        </w:rPr>
        <w:t>+</w:t>
      </w:r>
      <w:r>
        <w:t xml:space="preserve">, sobretudo nos indivíduos com IDRM-. </w:t>
      </w:r>
    </w:p>
    <w:p w:rsidR="00BE1A68" w:rsidRDefault="00454288">
      <w:pPr>
        <w:ind w:left="-15" w:right="339" w:firstLine="360"/>
      </w:pPr>
      <w:r>
        <w:t>Os linfócitos T CD8</w:t>
      </w:r>
      <w:r>
        <w:rPr>
          <w:vertAlign w:val="superscript"/>
        </w:rPr>
        <w:t>+</w:t>
      </w:r>
      <w:r>
        <w:t xml:space="preserve"> estão mais presentes no grupo IDRM-</w:t>
      </w:r>
      <w:r>
        <w:t xml:space="preserve">, ainda que não se tenha encontrado significância estatística. A </w:t>
      </w:r>
      <w:proofErr w:type="spellStart"/>
      <w:r>
        <w:t>granzima</w:t>
      </w:r>
      <w:proofErr w:type="spellEnd"/>
      <w:r>
        <w:t xml:space="preserve"> B produzida por essas células tem um </w:t>
      </w:r>
      <w:r>
        <w:lastRenderedPageBreak/>
        <w:t xml:space="preserve">papel importante e reconhecido na patologia induzida pela </w:t>
      </w:r>
      <w:r>
        <w:rPr>
          <w:i/>
        </w:rPr>
        <w:t xml:space="preserve">L. </w:t>
      </w:r>
      <w:proofErr w:type="spellStart"/>
      <w:r>
        <w:rPr>
          <w:i/>
        </w:rPr>
        <w:t>braziliensis</w:t>
      </w:r>
      <w:proofErr w:type="spellEnd"/>
      <w:r>
        <w:t>, promovendo a apoptose de células infectadas e lesão tecidual</w:t>
      </w:r>
      <w:r>
        <w:rPr>
          <w:vertAlign w:val="superscript"/>
        </w:rPr>
        <w:t>26</w:t>
      </w:r>
      <w:r>
        <w:t>. É poss</w:t>
      </w:r>
      <w:r>
        <w:t xml:space="preserve">ível que a maior ativação desses tipos celulares também esteja auxiliando a formação da necrose tissular observada nos indivíduos com IDRM-. </w:t>
      </w:r>
    </w:p>
    <w:p w:rsidR="00BE1A68" w:rsidRDefault="00454288">
      <w:pPr>
        <w:ind w:left="-15" w:right="339" w:firstLine="360"/>
      </w:pPr>
      <w:r>
        <w:t>As células CD57</w:t>
      </w:r>
      <w:r>
        <w:rPr>
          <w:vertAlign w:val="superscript"/>
        </w:rPr>
        <w:t>+</w:t>
      </w:r>
      <w:r>
        <w:t xml:space="preserve"> também são produtoras de </w:t>
      </w:r>
      <w:proofErr w:type="spellStart"/>
      <w:r>
        <w:t>granzima</w:t>
      </w:r>
      <w:proofErr w:type="spellEnd"/>
      <w:r>
        <w:t xml:space="preserve"> B, porém elas se encontram em maior número nos indivíduos com I</w:t>
      </w:r>
      <w:r>
        <w:t>DRM+. Esperava-se que elas tivessem uma maior presença no grupo IDRM-, como as células CD8</w:t>
      </w:r>
      <w:r>
        <w:rPr>
          <w:vertAlign w:val="superscript"/>
        </w:rPr>
        <w:t>+</w:t>
      </w:r>
      <w:r>
        <w:t>. Uma explicação possível pode estar relacionada ao mecanismo de ativação desses tipos celulares, que é modulado por citocinas pró-inflamatórias, sobretudo a interle</w:t>
      </w:r>
      <w:r>
        <w:t>ucina 2 (IL-2), mais abundantemente presentes em indivíduos com padrão de resposta inflamatória Th1</w:t>
      </w:r>
      <w:r>
        <w:rPr>
          <w:vertAlign w:val="superscript"/>
        </w:rPr>
        <w:t>27</w:t>
      </w:r>
      <w:r>
        <w:t xml:space="preserve">. </w:t>
      </w:r>
    </w:p>
    <w:p w:rsidR="00BE1A68" w:rsidRDefault="00454288">
      <w:pPr>
        <w:ind w:left="-15" w:right="339" w:firstLine="360"/>
      </w:pPr>
      <w:r>
        <w:t>Sendo a IL-1β uma citocina pró-inflamatória produzida por macrófagos ativados</w:t>
      </w:r>
      <w:r>
        <w:rPr>
          <w:vertAlign w:val="superscript"/>
        </w:rPr>
        <w:t>2, 28</w:t>
      </w:r>
      <w:r>
        <w:t>, era esperado que ela fosse observada em maior quantidade nos indivíd</w:t>
      </w:r>
      <w:r>
        <w:t>uos com IDRM+, o que não ocorreu. É plausível pensar que esse resultado está relacionado ao método de avaliação do tecido. A imuno-histoquímica permite apenas que se observe o conteúdo presente no meio intracelular e na membrana plasmática das células estu</w:t>
      </w:r>
      <w:r>
        <w:t>dadas. Dessa forma, é possível que, no grupo positivo, as moléculas de IL-1β tenham sido secretadas em maior quantidade, o que explicaria os resultados obtidos. Uma avaliação precisa da presença dessa citocina no meio extracelular poderia ser feita a parti</w:t>
      </w:r>
      <w:r>
        <w:t xml:space="preserve">r da extração de sangue dos participantes, porém esse não foi o objetivo deste estudo. </w:t>
      </w:r>
    </w:p>
    <w:p w:rsidR="00BE1A68" w:rsidRDefault="00454288">
      <w:pPr>
        <w:ind w:left="-15" w:right="339" w:firstLine="360"/>
      </w:pPr>
      <w:r>
        <w:t>O número de amastigotas observadas nas biópsias de indivíduos negativos é significativamente superior ao do grupo IDRM+, como previamente descrito na literatura</w:t>
      </w:r>
      <w:r>
        <w:rPr>
          <w:vertAlign w:val="superscript"/>
        </w:rPr>
        <w:t>29</w:t>
      </w:r>
      <w:r>
        <w:t>. O me</w:t>
      </w:r>
      <w:r>
        <w:t xml:space="preserve">lhor controle parasitário dos indivíduos com IDRM+ está positivamente associado ao número de granulomas e negativamente associado à presença de plasmócitos, em congruência com os achados histopatológicos supracitados. </w:t>
      </w:r>
    </w:p>
    <w:p w:rsidR="00BE1A68" w:rsidRDefault="00454288">
      <w:pPr>
        <w:ind w:left="-15" w:right="339" w:firstLine="360"/>
      </w:pPr>
      <w:r>
        <w:t>Considerando que o presente estudo ut</w:t>
      </w:r>
      <w:r>
        <w:t>iliza amostra de conveniência, é importante ressaltar que ele pode não representar com total precisão toda a população de indivíduos com LC. Todas as biópsias provieram do município de Presidente Tancredo Neves (BA), sugerindo que, ainda que caracterizem b</w:t>
      </w:r>
      <w:r>
        <w:t xml:space="preserve">em esses indivíduos, elas estão sujeitas a vieses possivelmente intrínsecos a essa população. Não há motivo, entretanto, para imaginar que o curso da LC seja diferente nos residentes de Corte de Pedra em relação a qualquer outro ser humano.  </w:t>
      </w:r>
    </w:p>
    <w:p w:rsidR="00BE1A68" w:rsidRDefault="00454288">
      <w:pPr>
        <w:ind w:left="-15" w:right="339" w:firstLine="360"/>
      </w:pPr>
      <w:r>
        <w:lastRenderedPageBreak/>
        <w:t xml:space="preserve"> É importante</w:t>
      </w:r>
      <w:r>
        <w:t xml:space="preserve"> notar ainda que, por possuir um tamanho amostral diminuído, este estudo tem um poder estatístico reduzido. Isso significa que sua capacidade de detectar corretamente uma associação real é menor, quando comparada a estudos que contaram com uma maior amostr</w:t>
      </w:r>
      <w:r>
        <w:t xml:space="preserve">a. </w:t>
      </w:r>
    </w:p>
    <w:p w:rsidR="00BE1A68" w:rsidRDefault="00454288">
      <w:pPr>
        <w:ind w:left="-15" w:right="339" w:firstLine="360"/>
      </w:pPr>
      <w:r>
        <w:t xml:space="preserve">Por fim, como se trata de um estudo de corte transversal, não é possível inferir uma associação de causa e efeito entre a positividade à IDRM e a </w:t>
      </w:r>
      <w:proofErr w:type="spellStart"/>
      <w:r>
        <w:t>histopatologia</w:t>
      </w:r>
      <w:proofErr w:type="spellEnd"/>
      <w:r>
        <w:t xml:space="preserve"> dos pacientes. O desenho de estudo escolhido permite-nos obter dados confiáveis e formular </w:t>
      </w:r>
      <w:r>
        <w:t xml:space="preserve">hipóteses plausíveis baseando-se neles, porém uma associação causa-efeito deve ser verificada por meio de estudos do tipo caso-controle ou coorte.  </w:t>
      </w:r>
    </w:p>
    <w:p w:rsidR="00BE1A68" w:rsidRDefault="00454288">
      <w:pPr>
        <w:pStyle w:val="Ttulo1"/>
        <w:spacing w:after="273"/>
        <w:ind w:left="705" w:right="0" w:hanging="360"/>
        <w:jc w:val="left"/>
      </w:pPr>
      <w:bookmarkStart w:id="36" w:name="_Toc32380"/>
      <w:r>
        <w:t xml:space="preserve">CONCLUSÃO </w:t>
      </w:r>
      <w:bookmarkEnd w:id="36"/>
    </w:p>
    <w:p w:rsidR="00BE1A68" w:rsidRDefault="00454288">
      <w:pPr>
        <w:spacing w:after="158" w:line="259" w:lineRule="auto"/>
        <w:ind w:left="0" w:firstLine="0"/>
        <w:jc w:val="left"/>
      </w:pPr>
      <w:r>
        <w:t xml:space="preserve"> </w:t>
      </w:r>
    </w:p>
    <w:p w:rsidR="00BE1A68" w:rsidRDefault="00454288">
      <w:pPr>
        <w:ind w:left="-15" w:right="339" w:firstLine="360"/>
      </w:pPr>
      <w:r>
        <w:t>A diferença de padrões de resposta inflamatória entre pacientes com LC, verificada por meio da</w:t>
      </w:r>
      <w:r>
        <w:t xml:space="preserve"> </w:t>
      </w:r>
      <w:proofErr w:type="spellStart"/>
      <w:r>
        <w:t>intradermorreação</w:t>
      </w:r>
      <w:proofErr w:type="spellEnd"/>
      <w:r>
        <w:t xml:space="preserve"> de Montenegro, aparentemente possui repercussões na </w:t>
      </w:r>
      <w:proofErr w:type="spellStart"/>
      <w:r>
        <w:t>histopatologia</w:t>
      </w:r>
      <w:proofErr w:type="spellEnd"/>
      <w:r>
        <w:t xml:space="preserve"> das úlceras </w:t>
      </w:r>
      <w:proofErr w:type="spellStart"/>
      <w:r>
        <w:t>leishmanióticas</w:t>
      </w:r>
      <w:proofErr w:type="spellEnd"/>
      <w:r>
        <w:t xml:space="preserve">. Indivíduos com IDRM negativa tiveram maior presença de plasmócitos e amastigotas de </w:t>
      </w:r>
      <w:r>
        <w:rPr>
          <w:i/>
        </w:rPr>
        <w:t xml:space="preserve">L. </w:t>
      </w:r>
      <w:proofErr w:type="spellStart"/>
      <w:r>
        <w:rPr>
          <w:i/>
        </w:rPr>
        <w:t>braziliensis</w:t>
      </w:r>
      <w:proofErr w:type="spellEnd"/>
      <w:r>
        <w:t>, porém uma quantidade inferior de granulo</w:t>
      </w:r>
      <w:r>
        <w:t xml:space="preserve">mas. </w:t>
      </w:r>
    </w:p>
    <w:p w:rsidR="00BE1A68" w:rsidRDefault="00454288">
      <w:pPr>
        <w:ind w:left="-15" w:right="339" w:firstLine="360"/>
      </w:pPr>
      <w:r>
        <w:t xml:space="preserve">O estado da arte sobre a </w:t>
      </w:r>
      <w:proofErr w:type="spellStart"/>
      <w:r>
        <w:t>histopatologia</w:t>
      </w:r>
      <w:proofErr w:type="spellEnd"/>
      <w:r>
        <w:t xml:space="preserve"> dos indivíduos com LC e IDRM negativa ainda é consideravelmente limitado. Dessa forma, o presente estudo faz-se importante por verificar, com certo nível de detalhamento, diferenças entre os achados histológico</w:t>
      </w:r>
      <w:r>
        <w:t xml:space="preserve">s observados nos grupos IDRM- e IDRM+, auxiliando, pois, a consolidar-se o conhecimento sobre a patogênese da LC no primeiro grupo.  </w:t>
      </w:r>
      <w:r>
        <w:br w:type="page"/>
      </w:r>
    </w:p>
    <w:p w:rsidR="00BE1A68" w:rsidRDefault="00454288">
      <w:pPr>
        <w:pStyle w:val="Ttulo1"/>
        <w:spacing w:after="273"/>
        <w:ind w:left="705" w:right="0" w:hanging="360"/>
        <w:jc w:val="left"/>
      </w:pPr>
      <w:bookmarkStart w:id="37" w:name="_Toc32381"/>
      <w:r>
        <w:lastRenderedPageBreak/>
        <w:t xml:space="preserve">REFERÊNCIAS BIBLIOGRÁFICAS </w:t>
      </w:r>
      <w:bookmarkEnd w:id="37"/>
    </w:p>
    <w:p w:rsidR="00BE1A68" w:rsidRDefault="00454288">
      <w:pPr>
        <w:spacing w:after="161" w:line="259" w:lineRule="auto"/>
        <w:ind w:left="0" w:firstLine="0"/>
        <w:jc w:val="left"/>
      </w:pPr>
      <w:r>
        <w:t xml:space="preserve"> </w:t>
      </w:r>
    </w:p>
    <w:p w:rsidR="00BE1A68" w:rsidRDefault="00454288">
      <w:pPr>
        <w:numPr>
          <w:ilvl w:val="0"/>
          <w:numId w:val="2"/>
        </w:numPr>
        <w:spacing w:after="444"/>
        <w:ind w:right="339" w:hanging="360"/>
      </w:pPr>
      <w:r>
        <w:t xml:space="preserve">Carvalho LP, Passos S, </w:t>
      </w:r>
      <w:proofErr w:type="spellStart"/>
      <w:r>
        <w:t>Schriefer</w:t>
      </w:r>
      <w:proofErr w:type="spellEnd"/>
      <w:r>
        <w:t xml:space="preserve"> A, Carvalho EM. </w:t>
      </w:r>
      <w:r w:rsidRPr="002804FE">
        <w:rPr>
          <w:lang w:val="en-US"/>
        </w:rPr>
        <w:t>Protective and pathologic immune responses</w:t>
      </w:r>
      <w:r w:rsidRPr="002804FE">
        <w:rPr>
          <w:lang w:val="en-US"/>
        </w:rPr>
        <w:t xml:space="preserve"> in human </w:t>
      </w:r>
      <w:proofErr w:type="spellStart"/>
      <w:r w:rsidRPr="002804FE">
        <w:rPr>
          <w:lang w:val="en-US"/>
        </w:rPr>
        <w:t>tegumentary</w:t>
      </w:r>
      <w:proofErr w:type="spellEnd"/>
      <w:r w:rsidRPr="002804FE">
        <w:rPr>
          <w:lang w:val="en-US"/>
        </w:rPr>
        <w:t xml:space="preserve"> leishmaniasis. </w:t>
      </w:r>
      <w:r>
        <w:t xml:space="preserve">Vol. 3, </w:t>
      </w:r>
      <w:proofErr w:type="spellStart"/>
      <w:r>
        <w:t>Frontiers</w:t>
      </w:r>
      <w:proofErr w:type="spellEnd"/>
      <w:r>
        <w:t xml:space="preserve"> in </w:t>
      </w:r>
      <w:proofErr w:type="spellStart"/>
      <w:r>
        <w:t>Immunology</w:t>
      </w:r>
      <w:proofErr w:type="spellEnd"/>
      <w:r>
        <w:t xml:space="preserve">. 2012. Acesso em: 25/09/2022; </w:t>
      </w:r>
    </w:p>
    <w:p w:rsidR="00BE1A68" w:rsidRPr="002804FE" w:rsidRDefault="00454288">
      <w:pPr>
        <w:numPr>
          <w:ilvl w:val="0"/>
          <w:numId w:val="2"/>
        </w:numPr>
        <w:spacing w:after="444"/>
        <w:ind w:right="339" w:hanging="360"/>
        <w:rPr>
          <w:lang w:val="en-US"/>
        </w:rPr>
      </w:pPr>
      <w:r>
        <w:t xml:space="preserve">Carvalho AM, Guimarães LH, Costa R, Saldanha MG, Prates I, Carvalho LP, et al. </w:t>
      </w:r>
      <w:r w:rsidRPr="002804FE">
        <w:rPr>
          <w:lang w:val="en-US"/>
        </w:rPr>
        <w:t>Impaired Th1 response is associated with therapeutic failure in patients with</w:t>
      </w:r>
      <w:r w:rsidRPr="002804FE">
        <w:rPr>
          <w:lang w:val="en-US"/>
        </w:rPr>
        <w:t xml:space="preserve"> cutaneous leishmaniasis caused by </w:t>
      </w:r>
      <w:r w:rsidRPr="002804FE">
        <w:rPr>
          <w:i/>
          <w:lang w:val="en-US"/>
        </w:rPr>
        <w:t xml:space="preserve">Leishmania </w:t>
      </w:r>
      <w:proofErr w:type="spellStart"/>
      <w:r w:rsidRPr="002804FE">
        <w:rPr>
          <w:i/>
          <w:lang w:val="en-US"/>
        </w:rPr>
        <w:t>braziliensis</w:t>
      </w:r>
      <w:proofErr w:type="spellEnd"/>
      <w:r w:rsidRPr="002804FE">
        <w:rPr>
          <w:lang w:val="en-US"/>
        </w:rPr>
        <w:t xml:space="preserve">. Journal of Infectious Diseases. 2021 </w:t>
      </w:r>
      <w:proofErr w:type="spellStart"/>
      <w:r w:rsidRPr="002804FE">
        <w:rPr>
          <w:lang w:val="en-US"/>
        </w:rPr>
        <w:t>fev</w:t>
      </w:r>
      <w:proofErr w:type="spellEnd"/>
      <w:r w:rsidRPr="002804FE">
        <w:rPr>
          <w:lang w:val="en-US"/>
        </w:rPr>
        <w:t xml:space="preserve"> 1;223(3):527–35. </w:t>
      </w:r>
      <w:proofErr w:type="spellStart"/>
      <w:r w:rsidRPr="002804FE">
        <w:rPr>
          <w:lang w:val="en-US"/>
        </w:rPr>
        <w:t>Acesso</w:t>
      </w:r>
      <w:proofErr w:type="spellEnd"/>
      <w:r w:rsidRPr="002804FE">
        <w:rPr>
          <w:lang w:val="en-US"/>
        </w:rPr>
        <w:t xml:space="preserve"> </w:t>
      </w:r>
      <w:proofErr w:type="spellStart"/>
      <w:r w:rsidRPr="002804FE">
        <w:rPr>
          <w:lang w:val="en-US"/>
        </w:rPr>
        <w:t>em</w:t>
      </w:r>
      <w:proofErr w:type="spellEnd"/>
      <w:r w:rsidRPr="002804FE">
        <w:rPr>
          <w:lang w:val="en-US"/>
        </w:rPr>
        <w:t xml:space="preserve">: 25/09/2022; </w:t>
      </w:r>
    </w:p>
    <w:p w:rsidR="00BE1A68" w:rsidRPr="002804FE" w:rsidRDefault="00454288">
      <w:pPr>
        <w:numPr>
          <w:ilvl w:val="0"/>
          <w:numId w:val="2"/>
        </w:numPr>
        <w:spacing w:after="444"/>
        <w:ind w:right="339" w:hanging="360"/>
        <w:rPr>
          <w:lang w:val="en-US"/>
        </w:rPr>
      </w:pPr>
      <w:r>
        <w:t xml:space="preserve">Muniz AC, </w:t>
      </w:r>
      <w:proofErr w:type="spellStart"/>
      <w:r>
        <w:t>Bacellar</w:t>
      </w:r>
      <w:proofErr w:type="spellEnd"/>
      <w:r>
        <w:t xml:space="preserve"> O, Lima Lago E, Carvalho AM, Carneiro PP, Guimarães LH, et al. </w:t>
      </w:r>
      <w:r w:rsidRPr="002804FE">
        <w:rPr>
          <w:lang w:val="en-US"/>
        </w:rPr>
        <w:t>Immunologic markers of protectio</w:t>
      </w:r>
      <w:r w:rsidRPr="002804FE">
        <w:rPr>
          <w:lang w:val="en-US"/>
        </w:rPr>
        <w:t xml:space="preserve">n in </w:t>
      </w:r>
      <w:r w:rsidRPr="002804FE">
        <w:rPr>
          <w:i/>
          <w:lang w:val="en-US"/>
        </w:rPr>
        <w:t>Leishmania (</w:t>
      </w:r>
      <w:proofErr w:type="spellStart"/>
      <w:r w:rsidRPr="002804FE">
        <w:rPr>
          <w:i/>
          <w:lang w:val="en-US"/>
        </w:rPr>
        <w:t>Viannia</w:t>
      </w:r>
      <w:proofErr w:type="spellEnd"/>
      <w:r w:rsidRPr="002804FE">
        <w:rPr>
          <w:i/>
          <w:lang w:val="en-US"/>
        </w:rPr>
        <w:t xml:space="preserve">) </w:t>
      </w:r>
      <w:proofErr w:type="spellStart"/>
      <w:r w:rsidRPr="002804FE">
        <w:rPr>
          <w:i/>
          <w:lang w:val="en-US"/>
        </w:rPr>
        <w:t>braziliensis</w:t>
      </w:r>
      <w:proofErr w:type="spellEnd"/>
      <w:r w:rsidRPr="002804FE">
        <w:rPr>
          <w:lang w:val="en-US"/>
        </w:rPr>
        <w:t xml:space="preserve"> infection: A 5-year cohort study. Journal of Infectious Diseases. 2016 ago 15;214(4):570–6. </w:t>
      </w:r>
      <w:proofErr w:type="spellStart"/>
      <w:r w:rsidRPr="002804FE">
        <w:rPr>
          <w:lang w:val="en-US"/>
        </w:rPr>
        <w:t>Acesso</w:t>
      </w:r>
      <w:proofErr w:type="spellEnd"/>
      <w:r w:rsidRPr="002804FE">
        <w:rPr>
          <w:lang w:val="en-US"/>
        </w:rPr>
        <w:t xml:space="preserve"> </w:t>
      </w:r>
      <w:proofErr w:type="spellStart"/>
      <w:r w:rsidRPr="002804FE">
        <w:rPr>
          <w:lang w:val="en-US"/>
        </w:rPr>
        <w:t>em</w:t>
      </w:r>
      <w:proofErr w:type="spellEnd"/>
      <w:r w:rsidRPr="002804FE">
        <w:rPr>
          <w:lang w:val="en-US"/>
        </w:rPr>
        <w:t xml:space="preserve">: 25/09/2022; </w:t>
      </w:r>
    </w:p>
    <w:p w:rsidR="00BE1A68" w:rsidRDefault="00454288">
      <w:pPr>
        <w:numPr>
          <w:ilvl w:val="0"/>
          <w:numId w:val="2"/>
        </w:numPr>
        <w:spacing w:after="444"/>
        <w:ind w:right="339" w:hanging="360"/>
      </w:pPr>
      <w:r>
        <w:t xml:space="preserve">Organização Mundial da Saúde. </w:t>
      </w:r>
      <w:proofErr w:type="spellStart"/>
      <w:r>
        <w:t>Leishmaniasis</w:t>
      </w:r>
      <w:proofErr w:type="spellEnd"/>
      <w:r>
        <w:t xml:space="preserve">: </w:t>
      </w:r>
      <w:proofErr w:type="spellStart"/>
      <w:r>
        <w:t>epidemiology</w:t>
      </w:r>
      <w:proofErr w:type="spellEnd"/>
      <w:r>
        <w:t xml:space="preserve"> </w:t>
      </w:r>
      <w:proofErr w:type="spellStart"/>
      <w:r>
        <w:t>and</w:t>
      </w:r>
      <w:proofErr w:type="spellEnd"/>
      <w:r>
        <w:t xml:space="preserve"> </w:t>
      </w:r>
      <w:proofErr w:type="spellStart"/>
      <w:r>
        <w:t>access</w:t>
      </w:r>
      <w:proofErr w:type="spellEnd"/>
      <w:r>
        <w:t xml:space="preserve"> </w:t>
      </w:r>
      <w:proofErr w:type="spellStart"/>
      <w:r>
        <w:t>to</w:t>
      </w:r>
      <w:proofErr w:type="spellEnd"/>
      <w:r>
        <w:t xml:space="preserve"> medicines. Genebra, Suíça, OM</w:t>
      </w:r>
      <w:r>
        <w:t xml:space="preserve">S; 2013. Acesso em: 25/09/2022; </w:t>
      </w:r>
    </w:p>
    <w:p w:rsidR="00BE1A68" w:rsidRDefault="00454288">
      <w:pPr>
        <w:numPr>
          <w:ilvl w:val="0"/>
          <w:numId w:val="2"/>
        </w:numPr>
        <w:spacing w:after="442"/>
        <w:ind w:right="339" w:hanging="360"/>
      </w:pPr>
      <w:r>
        <w:t xml:space="preserve">Ministério da Saúde. DATASUS: Leishmaniose Tegumentar Americana - Casos confirmados notificados no sistema de informação de agravos de notificação - Brasil. </w:t>
      </w:r>
      <w:r>
        <w:t xml:space="preserve">Departamento de Informática do SUS. Brasília, Ministério da Saúde, 2020. Acesso em: 25/09/2022; </w:t>
      </w:r>
    </w:p>
    <w:p w:rsidR="00BE1A68" w:rsidRDefault="00454288">
      <w:pPr>
        <w:numPr>
          <w:ilvl w:val="0"/>
          <w:numId w:val="2"/>
        </w:numPr>
        <w:spacing w:after="444"/>
        <w:ind w:right="339" w:hanging="360"/>
      </w:pPr>
      <w:r>
        <w:t xml:space="preserve">Organização Pan-Americana da Saúde. Sistema de informação regional de leishmanioses. Washington, D.C., EUA; OPAS, 2021. Acesso em: 25/09/2022;  </w:t>
      </w:r>
    </w:p>
    <w:p w:rsidR="00BE1A68" w:rsidRPr="002804FE" w:rsidRDefault="00454288">
      <w:pPr>
        <w:numPr>
          <w:ilvl w:val="0"/>
          <w:numId w:val="2"/>
        </w:numPr>
        <w:spacing w:after="0"/>
        <w:ind w:right="339" w:hanging="360"/>
        <w:rPr>
          <w:lang w:val="en-US"/>
        </w:rPr>
      </w:pPr>
      <w:r w:rsidRPr="002804FE">
        <w:rPr>
          <w:lang w:val="en-US"/>
        </w:rPr>
        <w:t>Christensen SM</w:t>
      </w:r>
      <w:r w:rsidRPr="002804FE">
        <w:rPr>
          <w:lang w:val="en-US"/>
        </w:rPr>
        <w:t xml:space="preserve">, </w:t>
      </w:r>
      <w:proofErr w:type="spellStart"/>
      <w:r w:rsidRPr="002804FE">
        <w:rPr>
          <w:lang w:val="en-US"/>
        </w:rPr>
        <w:t>Belew</w:t>
      </w:r>
      <w:proofErr w:type="spellEnd"/>
      <w:r w:rsidRPr="002804FE">
        <w:rPr>
          <w:lang w:val="en-US"/>
        </w:rPr>
        <w:t xml:space="preserve"> AT, El-Sayed NM, Tafuri WL, Silveira FT, Mosser DM. Host and parasite responses in human diffuse cutaneous leishmaniasis caused by L. </w:t>
      </w:r>
    </w:p>
    <w:p w:rsidR="00BE1A68" w:rsidRDefault="00454288">
      <w:pPr>
        <w:spacing w:line="259" w:lineRule="auto"/>
        <w:ind w:left="370" w:right="339"/>
      </w:pPr>
      <w:proofErr w:type="spellStart"/>
      <w:r>
        <w:t>amazonensis</w:t>
      </w:r>
      <w:proofErr w:type="spellEnd"/>
      <w:r>
        <w:t xml:space="preserve">. </w:t>
      </w:r>
      <w:proofErr w:type="spellStart"/>
      <w:r>
        <w:t>PLoS</w:t>
      </w:r>
      <w:proofErr w:type="spellEnd"/>
      <w:r>
        <w:t xml:space="preserve"> </w:t>
      </w:r>
      <w:proofErr w:type="spellStart"/>
      <w:r>
        <w:t>Negl</w:t>
      </w:r>
      <w:proofErr w:type="spellEnd"/>
      <w:r>
        <w:t xml:space="preserve"> </w:t>
      </w:r>
      <w:proofErr w:type="spellStart"/>
      <w:r>
        <w:t>Trop</w:t>
      </w:r>
      <w:proofErr w:type="spellEnd"/>
      <w:r>
        <w:t xml:space="preserve"> </w:t>
      </w:r>
      <w:proofErr w:type="spellStart"/>
      <w:r>
        <w:t>Dis</w:t>
      </w:r>
      <w:proofErr w:type="spellEnd"/>
      <w:r>
        <w:t xml:space="preserve">. 2018 mar 1;13(3).  Acesso em: 25/09/2022; </w:t>
      </w:r>
    </w:p>
    <w:p w:rsidR="00BE1A68" w:rsidRDefault="00454288">
      <w:pPr>
        <w:numPr>
          <w:ilvl w:val="0"/>
          <w:numId w:val="2"/>
        </w:numPr>
        <w:spacing w:after="444"/>
        <w:ind w:right="339" w:hanging="360"/>
      </w:pPr>
      <w:r w:rsidRPr="002804FE">
        <w:rPr>
          <w:lang w:val="en-US"/>
        </w:rPr>
        <w:lastRenderedPageBreak/>
        <w:t xml:space="preserve">Ferreira Rangel E, Lainson R. Proven </w:t>
      </w:r>
      <w:r w:rsidRPr="002804FE">
        <w:rPr>
          <w:lang w:val="en-US"/>
        </w:rPr>
        <w:t xml:space="preserve">and putative vectors of American cutaneous leishmaniasis in Brazil: aspects of their biology and </w:t>
      </w:r>
      <w:proofErr w:type="spellStart"/>
      <w:r w:rsidRPr="002804FE">
        <w:rPr>
          <w:lang w:val="en-US"/>
        </w:rPr>
        <w:t>vectorial</w:t>
      </w:r>
      <w:proofErr w:type="spellEnd"/>
      <w:r w:rsidRPr="002804FE">
        <w:rPr>
          <w:lang w:val="en-US"/>
        </w:rPr>
        <w:t xml:space="preserve"> competence. </w:t>
      </w:r>
      <w:r>
        <w:t xml:space="preserve">Mem </w:t>
      </w:r>
      <w:proofErr w:type="spellStart"/>
      <w:r>
        <w:t>Inst</w:t>
      </w:r>
      <w:proofErr w:type="spellEnd"/>
      <w:r>
        <w:t xml:space="preserve"> Oswaldo Cruz. 2009;104(7):937–</w:t>
      </w:r>
      <w:proofErr w:type="gramStart"/>
      <w:r>
        <w:t>54..</w:t>
      </w:r>
      <w:proofErr w:type="gramEnd"/>
      <w:r>
        <w:t xml:space="preserve"> Acesso em: 25/09/2022;</w:t>
      </w:r>
      <w:r>
        <w:rPr>
          <w:rFonts w:ascii="Arial" w:eastAsia="Arial" w:hAnsi="Arial" w:cs="Arial"/>
          <w:b/>
        </w:rPr>
        <w:t xml:space="preserve"> </w:t>
      </w:r>
    </w:p>
    <w:p w:rsidR="00BE1A68" w:rsidRDefault="00454288">
      <w:pPr>
        <w:numPr>
          <w:ilvl w:val="0"/>
          <w:numId w:val="2"/>
        </w:numPr>
        <w:spacing w:after="113" w:line="259" w:lineRule="auto"/>
        <w:ind w:right="339" w:hanging="360"/>
      </w:pPr>
      <w:r w:rsidRPr="002804FE">
        <w:rPr>
          <w:lang w:val="en-US"/>
        </w:rPr>
        <w:t xml:space="preserve">Montenegro J. CUTANEOUS REACTION IN LEISHMANIASIS. </w:t>
      </w:r>
      <w:proofErr w:type="spellStart"/>
      <w:r>
        <w:t>Arch</w:t>
      </w:r>
      <w:proofErr w:type="spellEnd"/>
      <w:r>
        <w:t xml:space="preserve"> </w:t>
      </w:r>
      <w:proofErr w:type="spellStart"/>
      <w:r>
        <w:t>Derm</w:t>
      </w:r>
      <w:proofErr w:type="spellEnd"/>
      <w:r>
        <w:t xml:space="preserve"> </w:t>
      </w:r>
    </w:p>
    <w:p w:rsidR="00BE1A68" w:rsidRDefault="00454288">
      <w:pPr>
        <w:spacing w:after="444"/>
        <w:ind w:left="370" w:right="339"/>
      </w:pPr>
      <w:proofErr w:type="spellStart"/>
      <w:r>
        <w:t>Syphilo</w:t>
      </w:r>
      <w:r>
        <w:t>l</w:t>
      </w:r>
      <w:proofErr w:type="spellEnd"/>
      <w:r>
        <w:t xml:space="preserve"> [Internet]. 1926;187–94. Disponível em: http://archderm.jamanetwork.com/ Acesso em: 25/09/2022; </w:t>
      </w:r>
    </w:p>
    <w:p w:rsidR="00BE1A68" w:rsidRDefault="00454288">
      <w:pPr>
        <w:numPr>
          <w:ilvl w:val="0"/>
          <w:numId w:val="2"/>
        </w:numPr>
        <w:spacing w:after="444"/>
        <w:ind w:right="339" w:hanging="360"/>
      </w:pPr>
      <w:proofErr w:type="spellStart"/>
      <w:r w:rsidRPr="002804FE">
        <w:rPr>
          <w:lang w:val="en-US"/>
        </w:rPr>
        <w:t>Burza</w:t>
      </w:r>
      <w:proofErr w:type="spellEnd"/>
      <w:r w:rsidRPr="002804FE">
        <w:rPr>
          <w:lang w:val="en-US"/>
        </w:rPr>
        <w:t xml:space="preserve"> S, Croft SL, </w:t>
      </w:r>
      <w:proofErr w:type="spellStart"/>
      <w:r w:rsidRPr="002804FE">
        <w:rPr>
          <w:lang w:val="en-US"/>
        </w:rPr>
        <w:t>Boelaert</w:t>
      </w:r>
      <w:proofErr w:type="spellEnd"/>
      <w:r w:rsidRPr="002804FE">
        <w:rPr>
          <w:lang w:val="en-US"/>
        </w:rPr>
        <w:t xml:space="preserve"> M. Leishmaniasis. Vol. 392, The Lancet. Lancet Publishing Group; 2018. p. 951–70. </w:t>
      </w:r>
      <w:r>
        <w:t xml:space="preserve">Acesso em: 02/11/2022; </w:t>
      </w:r>
    </w:p>
    <w:p w:rsidR="00BE1A68" w:rsidRDefault="00454288">
      <w:pPr>
        <w:numPr>
          <w:ilvl w:val="0"/>
          <w:numId w:val="2"/>
        </w:numPr>
        <w:spacing w:after="444"/>
        <w:ind w:right="339" w:hanging="360"/>
      </w:pPr>
      <w:r w:rsidRPr="002804FE">
        <w:rPr>
          <w:lang w:val="en-US"/>
        </w:rPr>
        <w:t>Bailey MS, Lockwood DNJ</w:t>
      </w:r>
      <w:r w:rsidRPr="002804FE">
        <w:rPr>
          <w:lang w:val="en-US"/>
        </w:rPr>
        <w:t xml:space="preserve">. Cutaneous leishmaniasis. </w:t>
      </w:r>
      <w:proofErr w:type="spellStart"/>
      <w:r>
        <w:t>Clin</w:t>
      </w:r>
      <w:proofErr w:type="spellEnd"/>
      <w:r>
        <w:t xml:space="preserve"> </w:t>
      </w:r>
      <w:proofErr w:type="spellStart"/>
      <w:r>
        <w:t>Dermatol</w:t>
      </w:r>
      <w:proofErr w:type="spellEnd"/>
      <w:r>
        <w:t xml:space="preserve">. 2007 mar;25(2):203–11. Acesso em: 02/11/2022; </w:t>
      </w:r>
    </w:p>
    <w:p w:rsidR="00BE1A68" w:rsidRDefault="00454288">
      <w:pPr>
        <w:numPr>
          <w:ilvl w:val="0"/>
          <w:numId w:val="2"/>
        </w:numPr>
        <w:spacing w:after="444"/>
        <w:ind w:right="339" w:hanging="360"/>
      </w:pPr>
      <w:r w:rsidRPr="002804FE">
        <w:rPr>
          <w:lang w:val="en-US"/>
        </w:rPr>
        <w:t>Aronson NE, Joya CA. Cutaneous Leishmaniasis: Updates in Diagnosis and Management. Vol. 33, Infectious Disease Clinics of North America. W.B. Saunders; 2019. p. 101–17</w:t>
      </w:r>
      <w:r w:rsidRPr="002804FE">
        <w:rPr>
          <w:lang w:val="en-US"/>
        </w:rPr>
        <w:t xml:space="preserve">. </w:t>
      </w:r>
      <w:r>
        <w:t xml:space="preserve">Acesso em: 02/11/2022; </w:t>
      </w:r>
    </w:p>
    <w:p w:rsidR="00BE1A68" w:rsidRDefault="00454288">
      <w:pPr>
        <w:numPr>
          <w:ilvl w:val="0"/>
          <w:numId w:val="2"/>
        </w:numPr>
        <w:spacing w:after="445"/>
        <w:ind w:right="339" w:hanging="360"/>
      </w:pPr>
      <w:r>
        <w:t xml:space="preserve">Arenas R, Torres-Guerrero E, </w:t>
      </w:r>
      <w:proofErr w:type="spellStart"/>
      <w:r>
        <w:t>Quintanilla-Cedillo</w:t>
      </w:r>
      <w:proofErr w:type="spellEnd"/>
      <w:r>
        <w:t xml:space="preserve"> MR, Ruiz-</w:t>
      </w:r>
      <w:proofErr w:type="spellStart"/>
      <w:r>
        <w:t>Esmenjaud</w:t>
      </w:r>
      <w:proofErr w:type="spellEnd"/>
      <w:r>
        <w:t xml:space="preserve"> J. </w:t>
      </w:r>
      <w:proofErr w:type="spellStart"/>
      <w:r>
        <w:t>Leishmaniasis</w:t>
      </w:r>
      <w:proofErr w:type="spellEnd"/>
      <w:r>
        <w:t xml:space="preserve">: A review. Vol. 6, F1000Research. </w:t>
      </w:r>
      <w:proofErr w:type="spellStart"/>
      <w:r>
        <w:t>Faculty</w:t>
      </w:r>
      <w:proofErr w:type="spellEnd"/>
      <w:r>
        <w:t xml:space="preserve"> </w:t>
      </w:r>
      <w:proofErr w:type="spellStart"/>
      <w:r>
        <w:t>of</w:t>
      </w:r>
      <w:proofErr w:type="spellEnd"/>
      <w:r>
        <w:t xml:space="preserve"> 1000 </w:t>
      </w:r>
      <w:proofErr w:type="spellStart"/>
      <w:r>
        <w:t>Ltd</w:t>
      </w:r>
      <w:proofErr w:type="spellEnd"/>
      <w:r>
        <w:t xml:space="preserve">; 2017. Acesso em: 02/11/2022; </w:t>
      </w:r>
    </w:p>
    <w:p w:rsidR="00BE1A68" w:rsidRDefault="00454288">
      <w:pPr>
        <w:numPr>
          <w:ilvl w:val="0"/>
          <w:numId w:val="2"/>
        </w:numPr>
        <w:spacing w:after="444"/>
        <w:ind w:right="339" w:hanging="360"/>
      </w:pPr>
      <w:r>
        <w:t>Vera-</w:t>
      </w:r>
      <w:proofErr w:type="spellStart"/>
      <w:r>
        <w:t>Izaguirre</w:t>
      </w:r>
      <w:proofErr w:type="spellEnd"/>
      <w:r>
        <w:t xml:space="preserve"> DS, Vega-</w:t>
      </w:r>
      <w:proofErr w:type="spellStart"/>
      <w:r>
        <w:t>Memije</w:t>
      </w:r>
      <w:proofErr w:type="spellEnd"/>
      <w:r>
        <w:t xml:space="preserve"> E, </w:t>
      </w:r>
      <w:proofErr w:type="spellStart"/>
      <w:r>
        <w:t>Quintanilla-Cedillo</w:t>
      </w:r>
      <w:proofErr w:type="spellEnd"/>
      <w:r>
        <w:t xml:space="preserve"> MR, Ar</w:t>
      </w:r>
      <w:r>
        <w:t xml:space="preserve">enas R. </w:t>
      </w:r>
      <w:proofErr w:type="spellStart"/>
      <w:r>
        <w:t>Leishmaniasis</w:t>
      </w:r>
      <w:proofErr w:type="spellEnd"/>
      <w:r>
        <w:t xml:space="preserve">. </w:t>
      </w:r>
      <w:proofErr w:type="spellStart"/>
      <w:r>
        <w:t>Revisión</w:t>
      </w:r>
      <w:proofErr w:type="spellEnd"/>
      <w:r>
        <w:t xml:space="preserve">. </w:t>
      </w:r>
      <w:proofErr w:type="spellStart"/>
      <w:r>
        <w:t>Dermatología</w:t>
      </w:r>
      <w:proofErr w:type="spellEnd"/>
      <w:r>
        <w:t xml:space="preserve"> Cosmética, </w:t>
      </w:r>
      <w:proofErr w:type="gramStart"/>
      <w:r>
        <w:t>Médica</w:t>
      </w:r>
      <w:proofErr w:type="gramEnd"/>
      <w:r>
        <w:t xml:space="preserve"> y </w:t>
      </w:r>
      <w:proofErr w:type="spellStart"/>
      <w:r>
        <w:t>Quirúrgica</w:t>
      </w:r>
      <w:proofErr w:type="spellEnd"/>
      <w:r>
        <w:t xml:space="preserve">. 2006;4(4):252–60. Acesso em: 02/11/2022; </w:t>
      </w:r>
    </w:p>
    <w:p w:rsidR="00BE1A68" w:rsidRDefault="00454288">
      <w:pPr>
        <w:numPr>
          <w:ilvl w:val="0"/>
          <w:numId w:val="2"/>
        </w:numPr>
        <w:spacing w:after="444"/>
        <w:ind w:right="339" w:hanging="360"/>
      </w:pPr>
      <w:proofErr w:type="spellStart"/>
      <w:r w:rsidRPr="002804FE">
        <w:rPr>
          <w:lang w:val="en-US"/>
        </w:rPr>
        <w:t>Reithinger</w:t>
      </w:r>
      <w:proofErr w:type="spellEnd"/>
      <w:r w:rsidRPr="002804FE">
        <w:rPr>
          <w:lang w:val="en-US"/>
        </w:rPr>
        <w:t xml:space="preserve"> R, Dujardin JC, </w:t>
      </w:r>
      <w:proofErr w:type="spellStart"/>
      <w:r w:rsidRPr="002804FE">
        <w:rPr>
          <w:lang w:val="en-US"/>
        </w:rPr>
        <w:t>Louzir</w:t>
      </w:r>
      <w:proofErr w:type="spellEnd"/>
      <w:r w:rsidRPr="002804FE">
        <w:rPr>
          <w:lang w:val="en-US"/>
        </w:rPr>
        <w:t xml:space="preserve"> H, </w:t>
      </w:r>
      <w:proofErr w:type="spellStart"/>
      <w:r w:rsidRPr="002804FE">
        <w:rPr>
          <w:lang w:val="en-US"/>
        </w:rPr>
        <w:t>Pirmez</w:t>
      </w:r>
      <w:proofErr w:type="spellEnd"/>
      <w:r w:rsidRPr="002804FE">
        <w:rPr>
          <w:lang w:val="en-US"/>
        </w:rPr>
        <w:t xml:space="preserve"> C, Alexander B, Brooker S. Cutaneous leishmaniasis. Lancet Infectious Diseases. </w:t>
      </w:r>
      <w:r>
        <w:t>2007 set;7(9</w:t>
      </w:r>
      <w:r>
        <w:t xml:space="preserve">):581–96. Acesso em: 02/11/2022; </w:t>
      </w:r>
    </w:p>
    <w:p w:rsidR="00BE1A68" w:rsidRPr="002804FE" w:rsidRDefault="00454288">
      <w:pPr>
        <w:numPr>
          <w:ilvl w:val="0"/>
          <w:numId w:val="2"/>
        </w:numPr>
        <w:spacing w:after="444"/>
        <w:ind w:right="339" w:hanging="360"/>
        <w:rPr>
          <w:lang w:val="en-US"/>
        </w:rPr>
      </w:pPr>
      <w:r w:rsidRPr="002804FE">
        <w:rPr>
          <w:lang w:val="en-US"/>
        </w:rPr>
        <w:t>Carstens-</w:t>
      </w:r>
      <w:proofErr w:type="spellStart"/>
      <w:r w:rsidRPr="002804FE">
        <w:rPr>
          <w:lang w:val="en-US"/>
        </w:rPr>
        <w:t>Kass</w:t>
      </w:r>
      <w:proofErr w:type="spellEnd"/>
      <w:r w:rsidRPr="002804FE">
        <w:rPr>
          <w:lang w:val="en-US"/>
        </w:rPr>
        <w:t xml:space="preserve"> J, </w:t>
      </w:r>
      <w:proofErr w:type="spellStart"/>
      <w:r w:rsidRPr="002804FE">
        <w:rPr>
          <w:lang w:val="en-US"/>
        </w:rPr>
        <w:t>Paulini</w:t>
      </w:r>
      <w:proofErr w:type="spellEnd"/>
      <w:r w:rsidRPr="002804FE">
        <w:rPr>
          <w:lang w:val="en-US"/>
        </w:rPr>
        <w:t xml:space="preserve"> K, </w:t>
      </w:r>
      <w:proofErr w:type="spellStart"/>
      <w:r w:rsidRPr="002804FE">
        <w:rPr>
          <w:lang w:val="en-US"/>
        </w:rPr>
        <w:t>Lypaczewski</w:t>
      </w:r>
      <w:proofErr w:type="spellEnd"/>
      <w:r w:rsidRPr="002804FE">
        <w:rPr>
          <w:lang w:val="en-US"/>
        </w:rPr>
        <w:t xml:space="preserve"> P, </w:t>
      </w:r>
      <w:proofErr w:type="spellStart"/>
      <w:r w:rsidRPr="002804FE">
        <w:rPr>
          <w:lang w:val="en-US"/>
        </w:rPr>
        <w:t>Matlashewski</w:t>
      </w:r>
      <w:proofErr w:type="spellEnd"/>
      <w:r w:rsidRPr="002804FE">
        <w:rPr>
          <w:lang w:val="en-US"/>
        </w:rPr>
        <w:t xml:space="preserve"> G. A review of the </w:t>
      </w:r>
      <w:proofErr w:type="spellStart"/>
      <w:r w:rsidRPr="002804FE">
        <w:rPr>
          <w:lang w:val="en-US"/>
        </w:rPr>
        <w:t>leishmanin</w:t>
      </w:r>
      <w:proofErr w:type="spellEnd"/>
      <w:r w:rsidRPr="002804FE">
        <w:rPr>
          <w:lang w:val="en-US"/>
        </w:rPr>
        <w:t xml:space="preserve"> skin test: A neglected test for a neglected disease. Vol. 15, </w:t>
      </w:r>
      <w:proofErr w:type="spellStart"/>
      <w:r w:rsidRPr="002804FE">
        <w:rPr>
          <w:lang w:val="en-US"/>
        </w:rPr>
        <w:t>PLoS</w:t>
      </w:r>
      <w:proofErr w:type="spellEnd"/>
      <w:r w:rsidRPr="002804FE">
        <w:rPr>
          <w:lang w:val="en-US"/>
        </w:rPr>
        <w:t xml:space="preserve"> Neglected Tropical Diseases. Public Library of Science; 2021. </w:t>
      </w:r>
      <w:proofErr w:type="spellStart"/>
      <w:r w:rsidRPr="002804FE">
        <w:rPr>
          <w:lang w:val="en-US"/>
        </w:rPr>
        <w:t>Acesso</w:t>
      </w:r>
      <w:proofErr w:type="spellEnd"/>
      <w:r w:rsidRPr="002804FE">
        <w:rPr>
          <w:lang w:val="en-US"/>
        </w:rPr>
        <w:t xml:space="preserve"> </w:t>
      </w:r>
      <w:proofErr w:type="spellStart"/>
      <w:r w:rsidRPr="002804FE">
        <w:rPr>
          <w:lang w:val="en-US"/>
        </w:rPr>
        <w:t>em</w:t>
      </w:r>
      <w:proofErr w:type="spellEnd"/>
      <w:r w:rsidRPr="002804FE">
        <w:rPr>
          <w:lang w:val="en-US"/>
        </w:rPr>
        <w:t xml:space="preserve">: 02/11/2022; </w:t>
      </w:r>
    </w:p>
    <w:p w:rsidR="00BE1A68" w:rsidRDefault="00454288">
      <w:pPr>
        <w:numPr>
          <w:ilvl w:val="0"/>
          <w:numId w:val="2"/>
        </w:numPr>
        <w:spacing w:after="445"/>
        <w:ind w:right="339" w:hanging="360"/>
      </w:pPr>
      <w:r w:rsidRPr="002804FE">
        <w:rPr>
          <w:lang w:val="en-US"/>
        </w:rPr>
        <w:lastRenderedPageBreak/>
        <w:t>Handler MZ, Patel PA, Kapila R, Al-</w:t>
      </w:r>
      <w:proofErr w:type="spellStart"/>
      <w:r w:rsidRPr="002804FE">
        <w:rPr>
          <w:lang w:val="en-US"/>
        </w:rPr>
        <w:t>Qubati</w:t>
      </w:r>
      <w:proofErr w:type="spellEnd"/>
      <w:r w:rsidRPr="002804FE">
        <w:rPr>
          <w:lang w:val="en-US"/>
        </w:rPr>
        <w:t xml:space="preserve"> Y, Schwartz RA. Cutaneous and mucocutaneous leishmaniasis: Differential diagnosis, diagnosis, histopathology, and management. Vol. 73, Journal of the American Academy of Dermatology. Mosby Inc.; 20</w:t>
      </w:r>
      <w:r w:rsidRPr="002804FE">
        <w:rPr>
          <w:lang w:val="en-US"/>
        </w:rPr>
        <w:t xml:space="preserve">15. p. 911–26. </w:t>
      </w:r>
      <w:r>
        <w:t xml:space="preserve">Acesso em: 05/11/2022; </w:t>
      </w:r>
    </w:p>
    <w:p w:rsidR="00BE1A68" w:rsidRDefault="00454288">
      <w:pPr>
        <w:numPr>
          <w:ilvl w:val="0"/>
          <w:numId w:val="2"/>
        </w:numPr>
        <w:spacing w:after="444"/>
        <w:ind w:right="339" w:hanging="360"/>
      </w:pPr>
      <w:proofErr w:type="spellStart"/>
      <w:r w:rsidRPr="002804FE">
        <w:rPr>
          <w:lang w:val="en-US"/>
        </w:rPr>
        <w:t>Gurel</w:t>
      </w:r>
      <w:proofErr w:type="spellEnd"/>
      <w:r w:rsidRPr="002804FE">
        <w:rPr>
          <w:lang w:val="en-US"/>
        </w:rPr>
        <w:t xml:space="preserve"> MS, </w:t>
      </w:r>
      <w:proofErr w:type="spellStart"/>
      <w:r w:rsidRPr="002804FE">
        <w:rPr>
          <w:lang w:val="en-US"/>
        </w:rPr>
        <w:t>Tekin</w:t>
      </w:r>
      <w:proofErr w:type="spellEnd"/>
      <w:r w:rsidRPr="002804FE">
        <w:rPr>
          <w:lang w:val="en-US"/>
        </w:rPr>
        <w:t xml:space="preserve"> B, </w:t>
      </w:r>
      <w:proofErr w:type="spellStart"/>
      <w:r w:rsidRPr="002804FE">
        <w:rPr>
          <w:lang w:val="en-US"/>
        </w:rPr>
        <w:t>Uzun</w:t>
      </w:r>
      <w:proofErr w:type="spellEnd"/>
      <w:r w:rsidRPr="002804FE">
        <w:rPr>
          <w:lang w:val="en-US"/>
        </w:rPr>
        <w:t xml:space="preserve"> S. Cutaneous leishmaniasis: A great imitator. </w:t>
      </w:r>
      <w:proofErr w:type="spellStart"/>
      <w:r>
        <w:t>Clin</w:t>
      </w:r>
      <w:proofErr w:type="spellEnd"/>
      <w:r>
        <w:t xml:space="preserve"> </w:t>
      </w:r>
      <w:proofErr w:type="spellStart"/>
      <w:r>
        <w:t>Dermatol</w:t>
      </w:r>
      <w:proofErr w:type="spellEnd"/>
      <w:r>
        <w:t xml:space="preserve">. 2020 mar 1;38(2):140–51. Acesso em: 05/11/2022; </w:t>
      </w:r>
    </w:p>
    <w:p w:rsidR="00BE1A68" w:rsidRDefault="00454288">
      <w:pPr>
        <w:numPr>
          <w:ilvl w:val="0"/>
          <w:numId w:val="2"/>
        </w:numPr>
        <w:spacing w:after="444"/>
        <w:ind w:right="339" w:hanging="360"/>
      </w:pPr>
      <w:r>
        <w:t xml:space="preserve">Saldanha MG, Queiroz A, Machado PRL, Carvalho LP, Scott P, Carvalho Filho </w:t>
      </w:r>
      <w:proofErr w:type="gramStart"/>
      <w:r>
        <w:t>EM, et</w:t>
      </w:r>
      <w:proofErr w:type="gramEnd"/>
      <w:r>
        <w:t xml:space="preserve"> al</w:t>
      </w:r>
      <w:r>
        <w:t xml:space="preserve">. </w:t>
      </w:r>
      <w:r w:rsidRPr="002804FE">
        <w:rPr>
          <w:lang w:val="en-US"/>
        </w:rPr>
        <w:t xml:space="preserve">Characterization of the histopathologic features in patients in the early and late phases of cutaneous leishmaniasis. </w:t>
      </w:r>
      <w:r>
        <w:t xml:space="preserve">American </w:t>
      </w:r>
      <w:proofErr w:type="spellStart"/>
      <w:r>
        <w:t>Journal</w:t>
      </w:r>
      <w:proofErr w:type="spellEnd"/>
      <w:r>
        <w:t xml:space="preserve"> </w:t>
      </w:r>
      <w:proofErr w:type="spellStart"/>
      <w:r>
        <w:t>of</w:t>
      </w:r>
      <w:proofErr w:type="spellEnd"/>
      <w:r>
        <w:t xml:space="preserve"> Tropical Medicine </w:t>
      </w:r>
      <w:proofErr w:type="spellStart"/>
      <w:r>
        <w:t>and</w:t>
      </w:r>
      <w:proofErr w:type="spellEnd"/>
      <w:r>
        <w:t xml:space="preserve"> </w:t>
      </w:r>
      <w:proofErr w:type="spellStart"/>
      <w:r>
        <w:t>Hygiene</w:t>
      </w:r>
      <w:proofErr w:type="spellEnd"/>
      <w:r>
        <w:t xml:space="preserve">. 8 de março de 2017;96(3):645–52. Acesso em: 03/08/2023; </w:t>
      </w:r>
    </w:p>
    <w:p w:rsidR="00BE1A68" w:rsidRPr="002804FE" w:rsidRDefault="00454288">
      <w:pPr>
        <w:numPr>
          <w:ilvl w:val="0"/>
          <w:numId w:val="2"/>
        </w:numPr>
        <w:spacing w:after="0"/>
        <w:ind w:right="339" w:hanging="360"/>
        <w:rPr>
          <w:lang w:val="en-US"/>
        </w:rPr>
      </w:pPr>
      <w:r>
        <w:t xml:space="preserve">Ribeiro CS, França RR, Silva JA, Silva SC </w:t>
      </w:r>
      <w:proofErr w:type="gramStart"/>
      <w:r>
        <w:t xml:space="preserve">da, </w:t>
      </w:r>
      <w:proofErr w:type="spellStart"/>
      <w:r>
        <w:t>Uliana</w:t>
      </w:r>
      <w:proofErr w:type="spellEnd"/>
      <w:proofErr w:type="gramEnd"/>
      <w:r>
        <w:t xml:space="preserve"> SRB, Boaventura VS, et al. </w:t>
      </w:r>
      <w:r w:rsidRPr="002804FE">
        <w:rPr>
          <w:lang w:val="en-US"/>
        </w:rPr>
        <w:t xml:space="preserve">Cellular infiltrate in cutaneous leishmaniasis lesions and therapeutic outcome. An </w:t>
      </w:r>
    </w:p>
    <w:p w:rsidR="00BE1A68" w:rsidRDefault="00454288">
      <w:pPr>
        <w:spacing w:after="460"/>
        <w:ind w:left="370" w:right="339"/>
      </w:pPr>
      <w:proofErr w:type="spellStart"/>
      <w:r>
        <w:t>Bras</w:t>
      </w:r>
      <w:proofErr w:type="spellEnd"/>
      <w:r>
        <w:t xml:space="preserve"> </w:t>
      </w:r>
      <w:proofErr w:type="spellStart"/>
      <w:r>
        <w:t>Dermatol</w:t>
      </w:r>
      <w:proofErr w:type="spellEnd"/>
      <w:r>
        <w:t xml:space="preserve">. 1o de setembro de 2021;96(5):544–50. Acesso em: 03/08/2023; </w:t>
      </w:r>
    </w:p>
    <w:p w:rsidR="00BE1A68" w:rsidRDefault="00454288">
      <w:pPr>
        <w:numPr>
          <w:ilvl w:val="0"/>
          <w:numId w:val="2"/>
        </w:numPr>
        <w:spacing w:after="444"/>
        <w:ind w:right="339" w:hanging="360"/>
      </w:pPr>
      <w:r>
        <w:t xml:space="preserve">Scott P, Novais </w:t>
      </w:r>
      <w:r>
        <w:t xml:space="preserve">FO. </w:t>
      </w:r>
      <w:proofErr w:type="spellStart"/>
      <w:r>
        <w:t>Cutaneous</w:t>
      </w:r>
      <w:proofErr w:type="spellEnd"/>
      <w:r>
        <w:t xml:space="preserve"> </w:t>
      </w:r>
      <w:proofErr w:type="spellStart"/>
      <w:r>
        <w:t>leishmaniasis</w:t>
      </w:r>
      <w:proofErr w:type="spellEnd"/>
      <w:r>
        <w:t xml:space="preserve">: </w:t>
      </w:r>
      <w:proofErr w:type="spellStart"/>
      <w:r>
        <w:t>Immune</w:t>
      </w:r>
      <w:proofErr w:type="spellEnd"/>
      <w:r>
        <w:t xml:space="preserve"> responses in </w:t>
      </w:r>
      <w:proofErr w:type="spellStart"/>
      <w:r>
        <w:t>protection</w:t>
      </w:r>
      <w:proofErr w:type="spellEnd"/>
      <w:r>
        <w:t xml:space="preserve"> </w:t>
      </w:r>
      <w:proofErr w:type="spellStart"/>
      <w:r>
        <w:t>and</w:t>
      </w:r>
      <w:proofErr w:type="spellEnd"/>
      <w:r>
        <w:t xml:space="preserve"> </w:t>
      </w:r>
      <w:proofErr w:type="spellStart"/>
      <w:r>
        <w:t>pathogenesis</w:t>
      </w:r>
      <w:proofErr w:type="spellEnd"/>
      <w:r>
        <w:t xml:space="preserve">. Nat </w:t>
      </w:r>
      <w:proofErr w:type="spellStart"/>
      <w:r>
        <w:t>Rev</w:t>
      </w:r>
      <w:proofErr w:type="spellEnd"/>
      <w:r>
        <w:t xml:space="preserve"> </w:t>
      </w:r>
      <w:proofErr w:type="spellStart"/>
      <w:r>
        <w:t>Immunol</w:t>
      </w:r>
      <w:proofErr w:type="spellEnd"/>
      <w:r>
        <w:t xml:space="preserve">. 25 de agosto de 2016;16(9):581–92. Acesso em: 03/08/2023; </w:t>
      </w:r>
    </w:p>
    <w:p w:rsidR="00BE1A68" w:rsidRDefault="00454288">
      <w:pPr>
        <w:numPr>
          <w:ilvl w:val="0"/>
          <w:numId w:val="2"/>
        </w:numPr>
        <w:spacing w:after="444"/>
        <w:ind w:right="339" w:hanging="360"/>
      </w:pPr>
      <w:r>
        <w:t xml:space="preserve">Novais FO, </w:t>
      </w:r>
      <w:proofErr w:type="spellStart"/>
      <w:r>
        <w:t>Nguyen</w:t>
      </w:r>
      <w:proofErr w:type="spellEnd"/>
      <w:r>
        <w:t xml:space="preserve"> BT, </w:t>
      </w:r>
      <w:proofErr w:type="spellStart"/>
      <w:r>
        <w:t>Beiting</w:t>
      </w:r>
      <w:proofErr w:type="spellEnd"/>
      <w:r>
        <w:t xml:space="preserve"> DP, Carvalho LP, </w:t>
      </w:r>
      <w:proofErr w:type="spellStart"/>
      <w:r>
        <w:t>Glennie</w:t>
      </w:r>
      <w:proofErr w:type="spellEnd"/>
      <w:r>
        <w:t xml:space="preserve"> ND, Passos S, et al. </w:t>
      </w:r>
      <w:proofErr w:type="spellStart"/>
      <w:r>
        <w:t>Human</w:t>
      </w:r>
      <w:proofErr w:type="spellEnd"/>
      <w:r>
        <w:t xml:space="preserve"> </w:t>
      </w:r>
      <w:proofErr w:type="spellStart"/>
      <w:r>
        <w:t>classical</w:t>
      </w:r>
      <w:proofErr w:type="spellEnd"/>
      <w:r>
        <w:t xml:space="preserve"> </w:t>
      </w:r>
      <w:proofErr w:type="spellStart"/>
      <w:r>
        <w:t>monocytes</w:t>
      </w:r>
      <w:proofErr w:type="spellEnd"/>
      <w:r>
        <w:t xml:space="preserve"> </w:t>
      </w:r>
      <w:proofErr w:type="spellStart"/>
      <w:r>
        <w:t>control</w:t>
      </w:r>
      <w:proofErr w:type="spellEnd"/>
      <w:r>
        <w:t xml:space="preserve"> </w:t>
      </w:r>
      <w:proofErr w:type="spellStart"/>
      <w:r>
        <w:t>the</w:t>
      </w:r>
      <w:proofErr w:type="spellEnd"/>
      <w:r>
        <w:t xml:space="preserve"> </w:t>
      </w:r>
      <w:proofErr w:type="spellStart"/>
      <w:r>
        <w:t>intracellular</w:t>
      </w:r>
      <w:proofErr w:type="spellEnd"/>
      <w:r>
        <w:t xml:space="preserve"> </w:t>
      </w:r>
      <w:proofErr w:type="spellStart"/>
      <w:r>
        <w:t>stage</w:t>
      </w:r>
      <w:proofErr w:type="spellEnd"/>
      <w:r>
        <w:t xml:space="preserve"> </w:t>
      </w:r>
      <w:proofErr w:type="spellStart"/>
      <w:r>
        <w:t>of</w:t>
      </w:r>
      <w:proofErr w:type="spellEnd"/>
      <w:r>
        <w:t xml:space="preserve"> </w:t>
      </w:r>
      <w:proofErr w:type="spellStart"/>
      <w:r>
        <w:t>leishmania</w:t>
      </w:r>
      <w:proofErr w:type="spellEnd"/>
      <w:r>
        <w:t xml:space="preserve"> </w:t>
      </w:r>
      <w:proofErr w:type="spellStart"/>
      <w:r>
        <w:t>braziliensis</w:t>
      </w:r>
      <w:proofErr w:type="spellEnd"/>
      <w:r>
        <w:t xml:space="preserve"> </w:t>
      </w:r>
      <w:proofErr w:type="spellStart"/>
      <w:r>
        <w:t>by</w:t>
      </w:r>
      <w:proofErr w:type="spellEnd"/>
      <w:r>
        <w:t xml:space="preserve"> </w:t>
      </w:r>
      <w:proofErr w:type="spellStart"/>
      <w:r>
        <w:t>reactive</w:t>
      </w:r>
      <w:proofErr w:type="spellEnd"/>
      <w:r>
        <w:t xml:space="preserve"> </w:t>
      </w:r>
      <w:proofErr w:type="spellStart"/>
      <w:r>
        <w:t>oxygen</w:t>
      </w:r>
      <w:proofErr w:type="spellEnd"/>
      <w:r>
        <w:t xml:space="preserve"> </w:t>
      </w:r>
      <w:proofErr w:type="spellStart"/>
      <w:r>
        <w:t>species</w:t>
      </w:r>
      <w:proofErr w:type="spellEnd"/>
      <w:r>
        <w:t xml:space="preserve">. J </w:t>
      </w:r>
      <w:proofErr w:type="spellStart"/>
      <w:r>
        <w:t>Infect</w:t>
      </w:r>
      <w:proofErr w:type="spellEnd"/>
      <w:r>
        <w:t xml:space="preserve"> </w:t>
      </w:r>
      <w:proofErr w:type="spellStart"/>
      <w:r>
        <w:t>Dis</w:t>
      </w:r>
      <w:proofErr w:type="spellEnd"/>
      <w:r>
        <w:t xml:space="preserve">. 15 de abril de 2014;209(8):1288–96. Acesso em: 03/08/2023; </w:t>
      </w:r>
    </w:p>
    <w:p w:rsidR="00BE1A68" w:rsidRDefault="00454288">
      <w:pPr>
        <w:numPr>
          <w:ilvl w:val="0"/>
          <w:numId w:val="2"/>
        </w:numPr>
        <w:ind w:right="339" w:hanging="360"/>
      </w:pPr>
      <w:r w:rsidRPr="002804FE">
        <w:rPr>
          <w:lang w:val="en-US"/>
        </w:rPr>
        <w:t xml:space="preserve">Carvalho EM, </w:t>
      </w:r>
      <w:proofErr w:type="spellStart"/>
      <w:r w:rsidRPr="002804FE">
        <w:rPr>
          <w:lang w:val="en-US"/>
        </w:rPr>
        <w:t>Barral</w:t>
      </w:r>
      <w:proofErr w:type="spellEnd"/>
      <w:r w:rsidRPr="002804FE">
        <w:rPr>
          <w:lang w:val="en-US"/>
        </w:rPr>
        <w:t xml:space="preserve"> A, Costa JML, </w:t>
      </w:r>
      <w:proofErr w:type="spellStart"/>
      <w:r w:rsidRPr="002804FE">
        <w:rPr>
          <w:lang w:val="en-US"/>
        </w:rPr>
        <w:t>Bittencourt</w:t>
      </w:r>
      <w:proofErr w:type="spellEnd"/>
      <w:r w:rsidRPr="002804FE">
        <w:rPr>
          <w:lang w:val="en-US"/>
        </w:rPr>
        <w:t xml:space="preserve"> A, Marsden P. Clinical and immunopathological asp</w:t>
      </w:r>
      <w:r w:rsidRPr="002804FE">
        <w:rPr>
          <w:lang w:val="en-US"/>
        </w:rPr>
        <w:t xml:space="preserve">ects of disseminated cutaneous leishmaniasis. </w:t>
      </w:r>
      <w:r>
        <w:t xml:space="preserve">Acta Trop. 10 de dezembro de </w:t>
      </w:r>
      <w:proofErr w:type="gramStart"/>
      <w:r>
        <w:t>1994;56:315</w:t>
      </w:r>
      <w:proofErr w:type="gramEnd"/>
      <w:r>
        <w:t xml:space="preserve">–25. Acesso em: 03/08/2023; </w:t>
      </w:r>
    </w:p>
    <w:p w:rsidR="00BE1A68" w:rsidRPr="002804FE" w:rsidRDefault="00454288">
      <w:pPr>
        <w:numPr>
          <w:ilvl w:val="0"/>
          <w:numId w:val="2"/>
        </w:numPr>
        <w:spacing w:after="444"/>
        <w:ind w:right="339" w:hanging="360"/>
        <w:rPr>
          <w:lang w:val="en-US"/>
        </w:rPr>
      </w:pPr>
      <w:proofErr w:type="spellStart"/>
      <w:r>
        <w:t>Bacellar</w:t>
      </w:r>
      <w:proofErr w:type="spellEnd"/>
      <w:r>
        <w:t xml:space="preserve"> O, Lessa H, </w:t>
      </w:r>
      <w:proofErr w:type="spellStart"/>
      <w:r>
        <w:t>Schriefer</w:t>
      </w:r>
      <w:proofErr w:type="spellEnd"/>
      <w:r>
        <w:t xml:space="preserve"> A, Machado P, De Jesus AR, Dutra WO, et al. </w:t>
      </w:r>
      <w:r w:rsidRPr="002804FE">
        <w:rPr>
          <w:lang w:val="en-US"/>
        </w:rPr>
        <w:t>Upregulation of Th1-type responses in mucosal leishmaniasis patien</w:t>
      </w:r>
      <w:r w:rsidRPr="002804FE">
        <w:rPr>
          <w:lang w:val="en-US"/>
        </w:rPr>
        <w:t xml:space="preserve">ts. Infect Immun. </w:t>
      </w:r>
      <w:proofErr w:type="spellStart"/>
      <w:r w:rsidRPr="002804FE">
        <w:rPr>
          <w:lang w:val="en-US"/>
        </w:rPr>
        <w:t>dezembro</w:t>
      </w:r>
      <w:proofErr w:type="spellEnd"/>
      <w:r w:rsidRPr="002804FE">
        <w:rPr>
          <w:lang w:val="en-US"/>
        </w:rPr>
        <w:t xml:space="preserve"> de 2002;70(12):6734–40. </w:t>
      </w:r>
      <w:proofErr w:type="spellStart"/>
      <w:r w:rsidRPr="002804FE">
        <w:rPr>
          <w:lang w:val="en-US"/>
        </w:rPr>
        <w:t>Acesso</w:t>
      </w:r>
      <w:proofErr w:type="spellEnd"/>
      <w:r w:rsidRPr="002804FE">
        <w:rPr>
          <w:lang w:val="en-US"/>
        </w:rPr>
        <w:t xml:space="preserve"> </w:t>
      </w:r>
      <w:proofErr w:type="spellStart"/>
      <w:r w:rsidRPr="002804FE">
        <w:rPr>
          <w:lang w:val="en-US"/>
        </w:rPr>
        <w:t>em</w:t>
      </w:r>
      <w:proofErr w:type="spellEnd"/>
      <w:r w:rsidRPr="002804FE">
        <w:rPr>
          <w:lang w:val="en-US"/>
        </w:rPr>
        <w:t xml:space="preserve">: 03/08/2023; </w:t>
      </w:r>
    </w:p>
    <w:p w:rsidR="00BE1A68" w:rsidRDefault="00454288">
      <w:pPr>
        <w:numPr>
          <w:ilvl w:val="0"/>
          <w:numId w:val="2"/>
        </w:numPr>
        <w:spacing w:after="445"/>
        <w:ind w:right="339" w:hanging="360"/>
      </w:pPr>
      <w:r w:rsidRPr="002804FE">
        <w:rPr>
          <w:lang w:val="en-US"/>
        </w:rPr>
        <w:lastRenderedPageBreak/>
        <w:t xml:space="preserve">Ridley DS. The pathogenesis of cutaneous leishmaniasis. Royal Society of Tropical Medicine and Hygiene. </w:t>
      </w:r>
      <w:r>
        <w:t xml:space="preserve">1979;73(2):150–60. Acesso em: 03/08/2023; </w:t>
      </w:r>
    </w:p>
    <w:p w:rsidR="00BE1A68" w:rsidRDefault="00454288">
      <w:pPr>
        <w:numPr>
          <w:ilvl w:val="0"/>
          <w:numId w:val="2"/>
        </w:numPr>
        <w:spacing w:after="444"/>
        <w:ind w:right="339" w:hanging="360"/>
      </w:pPr>
      <w:r w:rsidRPr="002804FE">
        <w:rPr>
          <w:lang w:val="en-US"/>
        </w:rPr>
        <w:t>Hiebert PR, Granville DJ. Granzyme</w:t>
      </w:r>
      <w:r w:rsidRPr="002804FE">
        <w:rPr>
          <w:lang w:val="en-US"/>
        </w:rPr>
        <w:t xml:space="preserve"> B in injury, inflammation, and repair. </w:t>
      </w:r>
      <w:proofErr w:type="spellStart"/>
      <w:r>
        <w:t>Trends</w:t>
      </w:r>
      <w:proofErr w:type="spellEnd"/>
      <w:r>
        <w:t xml:space="preserve"> Mol Med. dezembro de 2012;18(12):732–41. Acesso em: 05/09/2023; </w:t>
      </w:r>
    </w:p>
    <w:p w:rsidR="00BE1A68" w:rsidRDefault="00454288">
      <w:pPr>
        <w:numPr>
          <w:ilvl w:val="0"/>
          <w:numId w:val="2"/>
        </w:numPr>
        <w:spacing w:after="444"/>
        <w:ind w:right="339" w:hanging="360"/>
      </w:pPr>
      <w:r w:rsidRPr="002804FE">
        <w:rPr>
          <w:lang w:val="en-US"/>
        </w:rPr>
        <w:t xml:space="preserve">Bogdan C. Natural killer cells in experimental and human leishmaniasis. </w:t>
      </w:r>
      <w:r>
        <w:t xml:space="preserve">Front </w:t>
      </w:r>
      <w:proofErr w:type="spellStart"/>
      <w:r>
        <w:t>Cell</w:t>
      </w:r>
      <w:proofErr w:type="spellEnd"/>
      <w:r>
        <w:t xml:space="preserve"> </w:t>
      </w:r>
      <w:proofErr w:type="spellStart"/>
      <w:r>
        <w:t>Infect</w:t>
      </w:r>
      <w:proofErr w:type="spellEnd"/>
      <w:r>
        <w:t xml:space="preserve"> Microbiol. 29 de maio de 2012;2. Acesso em: 05/09/2023</w:t>
      </w:r>
      <w:r>
        <w:t xml:space="preserve">; </w:t>
      </w:r>
    </w:p>
    <w:p w:rsidR="00BE1A68" w:rsidRDefault="00454288">
      <w:pPr>
        <w:numPr>
          <w:ilvl w:val="0"/>
          <w:numId w:val="2"/>
        </w:numPr>
        <w:spacing w:after="444"/>
        <w:ind w:right="339" w:hanging="360"/>
      </w:pPr>
      <w:r>
        <w:t xml:space="preserve">Saldanha MG, </w:t>
      </w:r>
      <w:proofErr w:type="spellStart"/>
      <w:r>
        <w:t>Pagliari</w:t>
      </w:r>
      <w:proofErr w:type="spellEnd"/>
      <w:r>
        <w:t xml:space="preserve"> C, Queiroz A, Machado PRL, Carvalho L, Scott P, et al. </w:t>
      </w:r>
      <w:r w:rsidRPr="002804FE">
        <w:rPr>
          <w:lang w:val="en-US"/>
        </w:rPr>
        <w:t xml:space="preserve">Tissue Damage in Human Cutaneous Leishmaniasis: Correlations Between Inflammatory Cells and Molecule Expression. </w:t>
      </w:r>
      <w:r>
        <w:t xml:space="preserve">Front </w:t>
      </w:r>
      <w:proofErr w:type="spellStart"/>
      <w:r>
        <w:t>Cell</w:t>
      </w:r>
      <w:proofErr w:type="spellEnd"/>
      <w:r>
        <w:t xml:space="preserve"> </w:t>
      </w:r>
      <w:proofErr w:type="spellStart"/>
      <w:r>
        <w:t>Infect</w:t>
      </w:r>
      <w:proofErr w:type="spellEnd"/>
      <w:r>
        <w:t xml:space="preserve"> Microbiol. 14 de julho de 2020;10. Acesso em:</w:t>
      </w:r>
      <w:r>
        <w:t xml:space="preserve"> 05/09/2023; </w:t>
      </w:r>
    </w:p>
    <w:p w:rsidR="00BE1A68" w:rsidRPr="002804FE" w:rsidRDefault="00454288">
      <w:pPr>
        <w:numPr>
          <w:ilvl w:val="0"/>
          <w:numId w:val="2"/>
        </w:numPr>
        <w:spacing w:after="0"/>
        <w:ind w:right="339" w:hanging="360"/>
        <w:rPr>
          <w:lang w:val="en-US"/>
        </w:rPr>
      </w:pPr>
      <w:proofErr w:type="spellStart"/>
      <w:r>
        <w:t>Krolewiecki</w:t>
      </w:r>
      <w:proofErr w:type="spellEnd"/>
      <w:r>
        <w:t xml:space="preserve"> AJ, </w:t>
      </w:r>
      <w:proofErr w:type="spellStart"/>
      <w:r>
        <w:t>Almazan</w:t>
      </w:r>
      <w:proofErr w:type="spellEnd"/>
      <w:r>
        <w:t xml:space="preserve"> MC, </w:t>
      </w:r>
      <w:proofErr w:type="spellStart"/>
      <w:r>
        <w:t>Quipildor</w:t>
      </w:r>
      <w:proofErr w:type="spellEnd"/>
      <w:r>
        <w:t xml:space="preserve"> M, Juarez M, Gil JF, Espinosa M, et al. </w:t>
      </w:r>
      <w:r w:rsidRPr="002804FE">
        <w:rPr>
          <w:lang w:val="en-US"/>
        </w:rPr>
        <w:t xml:space="preserve">Reappraisal of </w:t>
      </w:r>
      <w:proofErr w:type="spellStart"/>
      <w:r w:rsidRPr="002804FE">
        <w:rPr>
          <w:lang w:val="en-US"/>
        </w:rPr>
        <w:t>Leishmanin</w:t>
      </w:r>
      <w:proofErr w:type="spellEnd"/>
      <w:r w:rsidRPr="002804FE">
        <w:rPr>
          <w:lang w:val="en-US"/>
        </w:rPr>
        <w:t xml:space="preserve"> Skin Test (LST) in the management of American Cutaneous Leishmaniasis: A retrospective analysis from a reference center in Argentina. </w:t>
      </w:r>
      <w:proofErr w:type="spellStart"/>
      <w:r w:rsidRPr="002804FE">
        <w:rPr>
          <w:lang w:val="en-US"/>
        </w:rPr>
        <w:t>PLoS</w:t>
      </w:r>
      <w:proofErr w:type="spellEnd"/>
      <w:r w:rsidRPr="002804FE">
        <w:rPr>
          <w:lang w:val="en-US"/>
        </w:rPr>
        <w:t xml:space="preserve"> </w:t>
      </w:r>
      <w:proofErr w:type="spellStart"/>
      <w:r w:rsidRPr="002804FE">
        <w:rPr>
          <w:lang w:val="en-US"/>
        </w:rPr>
        <w:t>Negl</w:t>
      </w:r>
      <w:proofErr w:type="spellEnd"/>
      <w:r w:rsidRPr="002804FE">
        <w:rPr>
          <w:lang w:val="en-US"/>
        </w:rPr>
        <w:t xml:space="preserve"> Trop Dis. 5 de </w:t>
      </w:r>
      <w:proofErr w:type="spellStart"/>
      <w:r w:rsidRPr="002804FE">
        <w:rPr>
          <w:lang w:val="en-US"/>
        </w:rPr>
        <w:t>outubro</w:t>
      </w:r>
      <w:proofErr w:type="spellEnd"/>
      <w:r w:rsidRPr="002804FE">
        <w:rPr>
          <w:lang w:val="en-US"/>
        </w:rPr>
        <w:t xml:space="preserve"> de 2017;11(10). </w:t>
      </w:r>
      <w:proofErr w:type="spellStart"/>
      <w:r w:rsidRPr="002804FE">
        <w:rPr>
          <w:lang w:val="en-US"/>
        </w:rPr>
        <w:t>Acesso</w:t>
      </w:r>
      <w:proofErr w:type="spellEnd"/>
      <w:r w:rsidRPr="002804FE">
        <w:rPr>
          <w:lang w:val="en-US"/>
        </w:rPr>
        <w:t xml:space="preserve"> </w:t>
      </w:r>
      <w:proofErr w:type="spellStart"/>
      <w:r w:rsidRPr="002804FE">
        <w:rPr>
          <w:lang w:val="en-US"/>
        </w:rPr>
        <w:t>em</w:t>
      </w:r>
      <w:proofErr w:type="spellEnd"/>
      <w:r w:rsidRPr="002804FE">
        <w:rPr>
          <w:lang w:val="en-US"/>
        </w:rPr>
        <w:t xml:space="preserve">: </w:t>
      </w:r>
    </w:p>
    <w:p w:rsidR="00BE1A68" w:rsidRDefault="00454288">
      <w:pPr>
        <w:spacing w:after="456"/>
        <w:ind w:left="370" w:right="339"/>
      </w:pPr>
      <w:r>
        <w:t xml:space="preserve">05/09/2023. </w:t>
      </w:r>
    </w:p>
    <w:p w:rsidR="00BE1A68" w:rsidRDefault="00454288">
      <w:pPr>
        <w:spacing w:after="0" w:line="259" w:lineRule="auto"/>
        <w:ind w:left="0" w:firstLine="0"/>
        <w:jc w:val="left"/>
      </w:pPr>
      <w:r>
        <w:t xml:space="preserve"> </w:t>
      </w:r>
    </w:p>
    <w:sectPr w:rsidR="00BE1A68">
      <w:headerReference w:type="even" r:id="rId20"/>
      <w:headerReference w:type="default" r:id="rId21"/>
      <w:headerReference w:type="first" r:id="rId22"/>
      <w:pgSz w:w="11906" w:h="16838"/>
      <w:pgMar w:top="1423" w:right="1351" w:bottom="1443" w:left="1702" w:header="681"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288" w:rsidRDefault="00454288">
      <w:pPr>
        <w:spacing w:after="0" w:line="240" w:lineRule="auto"/>
      </w:pPr>
      <w:r>
        <w:separator/>
      </w:r>
    </w:p>
  </w:endnote>
  <w:endnote w:type="continuationSeparator" w:id="0">
    <w:p w:rsidR="00454288" w:rsidRDefault="0045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288" w:rsidRDefault="00454288">
      <w:pPr>
        <w:spacing w:after="0" w:line="240" w:lineRule="auto"/>
      </w:pPr>
      <w:r>
        <w:separator/>
      </w:r>
    </w:p>
  </w:footnote>
  <w:footnote w:type="continuationSeparator" w:id="0">
    <w:p w:rsidR="00454288" w:rsidRDefault="0045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68" w:rsidRDefault="00BE1A6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68" w:rsidRDefault="00BE1A6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68" w:rsidRDefault="00BE1A6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68" w:rsidRDefault="00454288">
    <w:pPr>
      <w:spacing w:after="0" w:line="259" w:lineRule="auto"/>
      <w:ind w:left="0" w:right="349" w:firstLine="0"/>
      <w:jc w:val="right"/>
    </w:pPr>
    <w:r>
      <w:fldChar w:fldCharType="begin"/>
    </w:r>
    <w:r>
      <w:instrText xml:space="preserve"> PAGE   \* MERGEFORMAT </w:instrText>
    </w:r>
    <w:r>
      <w:fldChar w:fldCharType="separate"/>
    </w:r>
    <w:r>
      <w:rPr>
        <w:sz w:val="20"/>
      </w:rPr>
      <w:t>8</w:t>
    </w:r>
    <w:r>
      <w:rPr>
        <w:sz w:val="20"/>
      </w:rPr>
      <w:fldChar w:fldCharType="end"/>
    </w:r>
    <w:r>
      <w:t xml:space="preserve"> </w:t>
    </w:r>
  </w:p>
  <w:p w:rsidR="00BE1A68" w:rsidRDefault="00454288">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68" w:rsidRDefault="00454288">
    <w:pPr>
      <w:spacing w:after="0" w:line="259" w:lineRule="auto"/>
      <w:ind w:left="0" w:right="349" w:firstLine="0"/>
      <w:jc w:val="right"/>
    </w:pPr>
    <w:r>
      <w:fldChar w:fldCharType="begin"/>
    </w:r>
    <w:r>
      <w:instrText xml:space="preserve"> PAGE   \* MERGEFORMAT </w:instrText>
    </w:r>
    <w:r>
      <w:fldChar w:fldCharType="separate"/>
    </w:r>
    <w:r>
      <w:rPr>
        <w:sz w:val="20"/>
      </w:rPr>
      <w:t>8</w:t>
    </w:r>
    <w:r>
      <w:rPr>
        <w:sz w:val="20"/>
      </w:rPr>
      <w:fldChar w:fldCharType="end"/>
    </w:r>
    <w:r>
      <w:t xml:space="preserve"> </w:t>
    </w:r>
  </w:p>
  <w:p w:rsidR="00BE1A68" w:rsidRDefault="00454288">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68" w:rsidRDefault="00454288">
    <w:pPr>
      <w:spacing w:after="0" w:line="259" w:lineRule="auto"/>
      <w:ind w:left="0" w:right="349" w:firstLine="0"/>
      <w:jc w:val="right"/>
    </w:pPr>
    <w:r>
      <w:fldChar w:fldCharType="begin"/>
    </w:r>
    <w:r>
      <w:instrText xml:space="preserve"> PAGE   \* MERGEFORMAT </w:instrText>
    </w:r>
    <w:r>
      <w:fldChar w:fldCharType="separate"/>
    </w:r>
    <w:r>
      <w:rPr>
        <w:sz w:val="20"/>
      </w:rPr>
      <w:t>8</w:t>
    </w:r>
    <w:r>
      <w:rPr>
        <w:sz w:val="20"/>
      </w:rPr>
      <w:fldChar w:fldCharType="end"/>
    </w:r>
    <w:r>
      <w:t xml:space="preserve"> </w:t>
    </w:r>
  </w:p>
  <w:p w:rsidR="00BE1A68" w:rsidRDefault="00454288">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E78"/>
    <w:multiLevelType w:val="hybridMultilevel"/>
    <w:tmpl w:val="40321282"/>
    <w:lvl w:ilvl="0" w:tplc="6F08121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4ECA0">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6C0F54">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B23AB4">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E8398">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D4647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DCA96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466EA">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FA64B6">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3C6D82"/>
    <w:multiLevelType w:val="hybridMultilevel"/>
    <w:tmpl w:val="C644B632"/>
    <w:lvl w:ilvl="0" w:tplc="1248A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2EF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EB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8B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EC6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06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6F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47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4A5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F237BE"/>
    <w:multiLevelType w:val="multilevel"/>
    <w:tmpl w:val="6EA0927E"/>
    <w:lvl w:ilvl="0">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1.%2.%3.%4"/>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pStyle w:val="Ttulo5"/>
      <w:lvlText w:val="%1.%2.%3.%4.%5"/>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68"/>
    <w:rsid w:val="002804FE"/>
    <w:rsid w:val="00454288"/>
    <w:rsid w:val="00BE1A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11B47-3909-4ED9-A59E-5CC91B64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3" w:line="367" w:lineRule="auto"/>
      <w:ind w:left="355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numPr>
        <w:numId w:val="3"/>
      </w:numPr>
      <w:spacing w:after="274"/>
      <w:ind w:left="10" w:right="64"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numPr>
        <w:ilvl w:val="1"/>
        <w:numId w:val="3"/>
      </w:numPr>
      <w:spacing w:after="153" w:line="367" w:lineRule="auto"/>
      <w:ind w:left="3555" w:hanging="10"/>
      <w:jc w:val="both"/>
      <w:outlineLvl w:val="1"/>
    </w:pPr>
    <w:rPr>
      <w:rFonts w:ascii="Times New Roman" w:eastAsia="Times New Roman" w:hAnsi="Times New Roman" w:cs="Times New Roman"/>
      <w:color w:val="000000"/>
      <w:sz w:val="24"/>
    </w:rPr>
  </w:style>
  <w:style w:type="paragraph" w:styleId="Ttulo3">
    <w:name w:val="heading 3"/>
    <w:next w:val="Normal"/>
    <w:link w:val="Ttulo3Char"/>
    <w:uiPriority w:val="9"/>
    <w:unhideWhenUsed/>
    <w:qFormat/>
    <w:pPr>
      <w:keepNext/>
      <w:keepLines/>
      <w:numPr>
        <w:ilvl w:val="2"/>
        <w:numId w:val="3"/>
      </w:numPr>
      <w:spacing w:after="117"/>
      <w:ind w:left="10" w:right="64" w:hanging="10"/>
      <w:outlineLvl w:val="2"/>
    </w:pPr>
    <w:rPr>
      <w:rFonts w:ascii="Times New Roman" w:eastAsia="Times New Roman" w:hAnsi="Times New Roman" w:cs="Times New Roman"/>
      <w:b/>
      <w:color w:val="000000"/>
      <w:sz w:val="24"/>
    </w:rPr>
  </w:style>
  <w:style w:type="paragraph" w:styleId="Ttulo4">
    <w:name w:val="heading 4"/>
    <w:next w:val="Normal"/>
    <w:link w:val="Ttulo4Char"/>
    <w:uiPriority w:val="9"/>
    <w:unhideWhenUsed/>
    <w:qFormat/>
    <w:pPr>
      <w:keepNext/>
      <w:keepLines/>
      <w:numPr>
        <w:ilvl w:val="3"/>
        <w:numId w:val="3"/>
      </w:numPr>
      <w:spacing w:after="281"/>
      <w:ind w:left="370" w:hanging="10"/>
      <w:outlineLvl w:val="3"/>
    </w:pPr>
    <w:rPr>
      <w:rFonts w:ascii="Times New Roman" w:eastAsia="Times New Roman" w:hAnsi="Times New Roman" w:cs="Times New Roman"/>
      <w:color w:val="000000"/>
      <w:sz w:val="24"/>
      <w:u w:val="single" w:color="000000"/>
    </w:rPr>
  </w:style>
  <w:style w:type="paragraph" w:styleId="Ttulo5">
    <w:name w:val="heading 5"/>
    <w:next w:val="Normal"/>
    <w:link w:val="Ttulo5Char"/>
    <w:uiPriority w:val="9"/>
    <w:unhideWhenUsed/>
    <w:qFormat/>
    <w:pPr>
      <w:keepNext/>
      <w:keepLines/>
      <w:numPr>
        <w:ilvl w:val="4"/>
        <w:numId w:val="3"/>
      </w:numPr>
      <w:spacing w:after="153" w:line="367" w:lineRule="auto"/>
      <w:ind w:left="3555" w:hanging="10"/>
      <w:jc w:val="both"/>
      <w:outlineLvl w:val="4"/>
    </w:pPr>
    <w:rPr>
      <w:rFonts w:ascii="Times New Roman" w:eastAsia="Times New Roman" w:hAnsi="Times New Roman" w:cs="Times New Roman"/>
      <w:color w:val="000000"/>
      <w:sz w:val="24"/>
    </w:rPr>
  </w:style>
  <w:style w:type="paragraph" w:styleId="Ttulo6">
    <w:name w:val="heading 6"/>
    <w:next w:val="Normal"/>
    <w:link w:val="Ttulo6Char"/>
    <w:uiPriority w:val="9"/>
    <w:unhideWhenUsed/>
    <w:qFormat/>
    <w:pPr>
      <w:keepNext/>
      <w:keepLines/>
      <w:spacing w:after="274"/>
      <w:ind w:left="10" w:right="64" w:hanging="10"/>
      <w:jc w:val="center"/>
      <w:outlineLvl w:val="5"/>
    </w:pPr>
    <w:rPr>
      <w:rFonts w:ascii="Times New Roman" w:eastAsia="Times New Roman" w:hAnsi="Times New Roman" w:cs="Times New Roman"/>
      <w:b/>
      <w:color w:val="000000"/>
      <w:sz w:val="24"/>
    </w:rPr>
  </w:style>
  <w:style w:type="paragraph" w:styleId="Ttulo7">
    <w:name w:val="heading 7"/>
    <w:next w:val="Normal"/>
    <w:link w:val="Ttulo7Char"/>
    <w:uiPriority w:val="9"/>
    <w:unhideWhenUsed/>
    <w:qFormat/>
    <w:pPr>
      <w:keepNext/>
      <w:keepLines/>
      <w:spacing w:after="117"/>
      <w:ind w:left="10" w:right="64" w:hanging="10"/>
      <w:outlineLvl w:val="6"/>
    </w:pPr>
    <w:rPr>
      <w:rFonts w:ascii="Times New Roman" w:eastAsia="Times New Roman" w:hAnsi="Times New Roman" w:cs="Times New Roman"/>
      <w:b/>
      <w:color w:val="000000"/>
      <w:sz w:val="24"/>
    </w:rPr>
  </w:style>
  <w:style w:type="paragraph" w:styleId="Ttulo8">
    <w:name w:val="heading 8"/>
    <w:next w:val="Normal"/>
    <w:link w:val="Ttulo8Char"/>
    <w:uiPriority w:val="9"/>
    <w:unhideWhenUsed/>
    <w:qFormat/>
    <w:pPr>
      <w:keepNext/>
      <w:keepLines/>
      <w:spacing w:after="281"/>
      <w:ind w:left="370" w:hanging="10"/>
      <w:outlineLvl w:val="7"/>
    </w:pPr>
    <w:rPr>
      <w:rFonts w:ascii="Times New Roman" w:eastAsia="Times New Roman" w:hAnsi="Times New Roman" w:cs="Times New Roman"/>
      <w:color w:val="000000"/>
      <w:sz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Pr>
      <w:rFonts w:ascii="Times New Roman" w:eastAsia="Times New Roman" w:hAnsi="Times New Roman" w:cs="Times New Roman"/>
      <w:b/>
      <w:color w:val="000000"/>
      <w:sz w:val="24"/>
    </w:rPr>
  </w:style>
  <w:style w:type="character" w:customStyle="1" w:styleId="Ttulo8Char">
    <w:name w:val="Título 8 Char"/>
    <w:link w:val="Ttulo8"/>
    <w:rPr>
      <w:rFonts w:ascii="Times New Roman" w:eastAsia="Times New Roman" w:hAnsi="Times New Roman" w:cs="Times New Roman"/>
      <w:color w:val="000000"/>
      <w:sz w:val="24"/>
      <w:u w:val="single" w:color="000000"/>
    </w:rPr>
  </w:style>
  <w:style w:type="character" w:customStyle="1" w:styleId="Ttulo7Char">
    <w:name w:val="Título 7 Char"/>
    <w:link w:val="Ttulo7"/>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4Char">
    <w:name w:val="Título 4 Char"/>
    <w:link w:val="Ttulo4"/>
    <w:rPr>
      <w:rFonts w:ascii="Times New Roman" w:eastAsia="Times New Roman" w:hAnsi="Times New Roman" w:cs="Times New Roman"/>
      <w:color w:val="000000"/>
      <w:sz w:val="24"/>
      <w:u w:val="single" w:color="000000"/>
    </w:rPr>
  </w:style>
  <w:style w:type="character" w:customStyle="1" w:styleId="Ttulo5Char">
    <w:name w:val="Título 5 Char"/>
    <w:link w:val="Ttulo5"/>
    <w:rPr>
      <w:rFonts w:ascii="Times New Roman" w:eastAsia="Times New Roman" w:hAnsi="Times New Roman" w:cs="Times New Roman"/>
      <w:color w:val="000000"/>
      <w:sz w:val="24"/>
    </w:rPr>
  </w:style>
  <w:style w:type="paragraph" w:styleId="Sumrio1">
    <w:name w:val="toc 1"/>
    <w:hidden/>
    <w:pPr>
      <w:spacing w:after="120" w:line="360" w:lineRule="auto"/>
      <w:ind w:left="25" w:right="70" w:hanging="10"/>
    </w:pPr>
    <w:rPr>
      <w:rFonts w:ascii="Times New Roman" w:eastAsia="Times New Roman" w:hAnsi="Times New Roman" w:cs="Times New Roman"/>
      <w:b/>
      <w:color w:val="000000"/>
      <w:sz w:val="24"/>
    </w:rPr>
  </w:style>
  <w:style w:type="paragraph" w:styleId="Sumrio2">
    <w:name w:val="toc 2"/>
    <w:hidden/>
    <w:pPr>
      <w:spacing w:after="121"/>
      <w:ind w:left="25" w:right="70" w:hanging="10"/>
      <w:jc w:val="both"/>
    </w:pPr>
    <w:rPr>
      <w:rFonts w:ascii="Times New Roman" w:eastAsia="Times New Roman" w:hAnsi="Times New Roman" w:cs="Times New Roman"/>
      <w:color w:val="000000"/>
      <w:sz w:val="24"/>
    </w:rPr>
  </w:style>
  <w:style w:type="paragraph" w:styleId="Sumrio3">
    <w:name w:val="toc 3"/>
    <w:hidden/>
    <w:pPr>
      <w:spacing w:after="117"/>
      <w:ind w:left="25" w:right="70" w:hanging="10"/>
    </w:pPr>
    <w:rPr>
      <w:rFonts w:ascii="Times New Roman" w:eastAsia="Times New Roman" w:hAnsi="Times New Roman" w:cs="Times New Roman"/>
      <w:b/>
      <w:color w:val="000000"/>
      <w:sz w:val="24"/>
    </w:rPr>
  </w:style>
  <w:style w:type="paragraph" w:styleId="Sumrio4">
    <w:name w:val="toc 4"/>
    <w:hidden/>
    <w:pPr>
      <w:spacing w:after="120"/>
      <w:ind w:left="25" w:right="70" w:hanging="10"/>
      <w:jc w:val="both"/>
    </w:pPr>
    <w:rPr>
      <w:rFonts w:ascii="Times New Roman" w:eastAsia="Times New Roman" w:hAnsi="Times New Roman" w:cs="Times New Roman"/>
      <w:color w:val="000000"/>
      <w:sz w:val="24"/>
    </w:rPr>
  </w:style>
  <w:style w:type="paragraph" w:styleId="Sumrio5">
    <w:name w:val="toc 5"/>
    <w:hidden/>
    <w:pPr>
      <w:spacing w:after="120"/>
      <w:ind w:left="25" w:right="70"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6290</Words>
  <Characters>33969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btgoes@outlook.com</dc:creator>
  <cp:keywords/>
  <cp:lastModifiedBy>CARLA DA SILVA SANTOS - BIBLIOTECA BROTAS</cp:lastModifiedBy>
  <cp:revision>2</cp:revision>
  <dcterms:created xsi:type="dcterms:W3CDTF">2024-07-19T11:21:00Z</dcterms:created>
  <dcterms:modified xsi:type="dcterms:W3CDTF">2024-07-19T11:21:00Z</dcterms:modified>
</cp:coreProperties>
</file>