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AB6" w:rsidRDefault="002C7D32">
      <w:pPr>
        <w:spacing w:after="175" w:line="259" w:lineRule="auto"/>
        <w:ind w:left="0" w:right="8" w:firstLine="0"/>
        <w:jc w:val="center"/>
      </w:pPr>
      <w:r>
        <w:rPr>
          <w:noProof/>
        </w:rPr>
        <w:drawing>
          <wp:inline distT="0" distB="0" distL="0" distR="0">
            <wp:extent cx="2383790" cy="55941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2383790" cy="559410"/>
                    </a:xfrm>
                    <a:prstGeom prst="rect">
                      <a:avLst/>
                    </a:prstGeom>
                  </pic:spPr>
                </pic:pic>
              </a:graphicData>
            </a:graphic>
          </wp:inline>
        </w:drawing>
      </w:r>
      <w:r>
        <w:rPr>
          <w:rFonts w:ascii="Calibri" w:eastAsia="Calibri" w:hAnsi="Calibri" w:cs="Calibri"/>
          <w:sz w:val="22"/>
        </w:rPr>
        <w:t xml:space="preserve"> </w:t>
      </w:r>
    </w:p>
    <w:p w:rsidR="00130AB6" w:rsidRDefault="002C7D32">
      <w:pPr>
        <w:spacing w:after="220" w:line="259" w:lineRule="auto"/>
        <w:ind w:left="12" w:right="0" w:firstLine="0"/>
        <w:jc w:val="center"/>
      </w:pPr>
      <w:r>
        <w:rPr>
          <w:b/>
        </w:rPr>
        <w:t xml:space="preserve"> </w:t>
      </w:r>
    </w:p>
    <w:p w:rsidR="00130AB6" w:rsidRDefault="002C7D32">
      <w:pPr>
        <w:spacing w:after="211" w:line="267" w:lineRule="auto"/>
        <w:ind w:right="56"/>
        <w:jc w:val="center"/>
      </w:pPr>
      <w:r>
        <w:rPr>
          <w:b/>
        </w:rPr>
        <w:t xml:space="preserve">CURSO DE MEDICINA  </w:t>
      </w:r>
    </w:p>
    <w:p w:rsidR="00130AB6" w:rsidRDefault="002C7D32">
      <w:pPr>
        <w:spacing w:after="2" w:line="450" w:lineRule="auto"/>
        <w:ind w:left="4537" w:right="4525" w:firstLine="0"/>
        <w:jc w:val="center"/>
      </w:pPr>
      <w:r>
        <w:rPr>
          <w:b/>
          <w:color w:val="FF0000"/>
        </w:rPr>
        <w:t xml:space="preserve">   </w:t>
      </w:r>
    </w:p>
    <w:p w:rsidR="00130AB6" w:rsidRDefault="002C7D32">
      <w:pPr>
        <w:spacing w:after="218" w:line="259" w:lineRule="auto"/>
        <w:ind w:left="12" w:right="0" w:firstLine="0"/>
        <w:jc w:val="center"/>
      </w:pPr>
      <w:r>
        <w:rPr>
          <w:b/>
          <w:color w:val="FF0000"/>
        </w:rPr>
        <w:t xml:space="preserve"> </w:t>
      </w:r>
    </w:p>
    <w:p w:rsidR="00130AB6" w:rsidRDefault="002C7D32">
      <w:pPr>
        <w:spacing w:after="211" w:line="267" w:lineRule="auto"/>
        <w:ind w:right="58"/>
        <w:jc w:val="center"/>
      </w:pPr>
      <w:r>
        <w:rPr>
          <w:b/>
        </w:rPr>
        <w:t xml:space="preserve">BEATRIZ MERCÊS GOMES </w:t>
      </w:r>
    </w:p>
    <w:p w:rsidR="00130AB6" w:rsidRDefault="002C7D32">
      <w:pPr>
        <w:spacing w:after="2" w:line="450" w:lineRule="auto"/>
        <w:ind w:left="4537" w:right="4525" w:firstLine="0"/>
        <w:jc w:val="center"/>
      </w:pPr>
      <w:r>
        <w:rPr>
          <w:b/>
          <w:color w:val="FF0000"/>
        </w:rPr>
        <w:t xml:space="preserve">     </w:t>
      </w:r>
    </w:p>
    <w:p w:rsidR="00130AB6" w:rsidRDefault="002C7D32">
      <w:pPr>
        <w:spacing w:after="211" w:line="267" w:lineRule="auto"/>
        <w:ind w:right="0"/>
        <w:jc w:val="center"/>
      </w:pPr>
      <w:r>
        <w:rPr>
          <w:b/>
        </w:rPr>
        <w:t>DOENÇA CELÍACA: UM PERFIL CLÍNICO-EPIDEMIOLÓGICO DOS INDIVÍDUOS MEMBROS DA ACELBRA-BA</w:t>
      </w:r>
      <w:r>
        <w:rPr>
          <w:b/>
          <w:color w:val="FF0000"/>
        </w:rPr>
        <w:t xml:space="preserve"> </w:t>
      </w:r>
    </w:p>
    <w:p w:rsidR="00130AB6" w:rsidRDefault="002C7D32">
      <w:pPr>
        <w:spacing w:after="0" w:line="450" w:lineRule="auto"/>
        <w:ind w:left="4537" w:right="4525" w:firstLine="0"/>
        <w:jc w:val="center"/>
      </w:pPr>
      <w:r>
        <w:rPr>
          <w:b/>
          <w:color w:val="FF0000"/>
        </w:rPr>
        <w:t xml:space="preserve">   </w:t>
      </w:r>
    </w:p>
    <w:p w:rsidR="00130AB6" w:rsidRDefault="002C7D32">
      <w:pPr>
        <w:spacing w:after="220" w:line="259" w:lineRule="auto"/>
        <w:ind w:left="12" w:right="0" w:firstLine="0"/>
        <w:jc w:val="center"/>
      </w:pPr>
      <w:r>
        <w:rPr>
          <w:b/>
          <w:color w:val="FF0000"/>
        </w:rPr>
        <w:t xml:space="preserve"> </w:t>
      </w:r>
    </w:p>
    <w:p w:rsidR="00130AB6" w:rsidRDefault="002C7D32">
      <w:pPr>
        <w:spacing w:after="2" w:line="449" w:lineRule="auto"/>
        <w:ind w:left="0" w:right="9062" w:firstLine="0"/>
        <w:jc w:val="left"/>
      </w:pPr>
      <w:r>
        <w:rPr>
          <w:b/>
        </w:rPr>
        <w:t xml:space="preserve"> </w:t>
      </w:r>
      <w:r>
        <w:rPr>
          <w:b/>
          <w:color w:val="FF0000"/>
        </w:rPr>
        <w:t xml:space="preserve"> </w:t>
      </w:r>
    </w:p>
    <w:p w:rsidR="00130AB6" w:rsidRDefault="002C7D32">
      <w:pPr>
        <w:spacing w:after="220" w:line="259" w:lineRule="auto"/>
        <w:ind w:left="12" w:right="0" w:firstLine="0"/>
        <w:jc w:val="center"/>
      </w:pPr>
      <w:r>
        <w:rPr>
          <w:b/>
          <w:color w:val="FF0000"/>
        </w:rPr>
        <w:t xml:space="preserve"> </w:t>
      </w:r>
    </w:p>
    <w:p w:rsidR="00130AB6" w:rsidRDefault="002C7D32">
      <w:pPr>
        <w:spacing w:after="218" w:line="259" w:lineRule="auto"/>
        <w:ind w:left="12" w:right="0" w:firstLine="0"/>
        <w:jc w:val="center"/>
      </w:pPr>
      <w:r>
        <w:rPr>
          <w:b/>
          <w:color w:val="FF0000"/>
        </w:rPr>
        <w:t xml:space="preserve"> </w:t>
      </w:r>
    </w:p>
    <w:p w:rsidR="00130AB6" w:rsidRDefault="002C7D32">
      <w:pPr>
        <w:spacing w:after="220" w:line="259" w:lineRule="auto"/>
        <w:ind w:left="0" w:right="0" w:firstLine="0"/>
        <w:jc w:val="left"/>
      </w:pPr>
      <w:r>
        <w:rPr>
          <w:b/>
          <w:color w:val="FF0000"/>
        </w:rPr>
        <w:t xml:space="preserve"> </w:t>
      </w:r>
    </w:p>
    <w:p w:rsidR="00130AB6" w:rsidRDefault="002C7D32">
      <w:pPr>
        <w:spacing w:after="211" w:line="267" w:lineRule="auto"/>
        <w:ind w:right="55"/>
        <w:jc w:val="center"/>
      </w:pPr>
      <w:r>
        <w:rPr>
          <w:b/>
        </w:rPr>
        <w:t xml:space="preserve">SALVADOR - BA 2023 </w:t>
      </w:r>
    </w:p>
    <w:p w:rsidR="00130AB6" w:rsidRDefault="002C7D32">
      <w:pPr>
        <w:spacing w:after="528" w:line="224" w:lineRule="auto"/>
        <w:ind w:left="9074" w:right="0" w:firstLine="0"/>
        <w:jc w:val="center"/>
      </w:pPr>
      <w:r>
        <w:rPr>
          <w:sz w:val="20"/>
        </w:rPr>
        <w:t xml:space="preserve"> </w:t>
      </w:r>
      <w:r>
        <w:rPr>
          <w:rFonts w:ascii="Calibri" w:eastAsia="Calibri" w:hAnsi="Calibri" w:cs="Calibri"/>
          <w:sz w:val="22"/>
        </w:rPr>
        <w:t xml:space="preserve"> </w:t>
      </w:r>
    </w:p>
    <w:p w:rsidR="00130AB6" w:rsidRDefault="002C7D32">
      <w:pPr>
        <w:spacing w:after="211" w:line="267" w:lineRule="auto"/>
        <w:ind w:right="58"/>
        <w:jc w:val="center"/>
      </w:pPr>
      <w:r>
        <w:rPr>
          <w:b/>
        </w:rPr>
        <w:t xml:space="preserve">BEATRIZ MERCÊS GOMES </w:t>
      </w:r>
    </w:p>
    <w:p w:rsidR="00130AB6" w:rsidRDefault="002C7D32">
      <w:pPr>
        <w:spacing w:after="2" w:line="450" w:lineRule="auto"/>
        <w:ind w:left="4537" w:right="4525" w:firstLine="0"/>
        <w:jc w:val="center"/>
      </w:pPr>
      <w:r>
        <w:rPr>
          <w:b/>
          <w:color w:val="FF0000"/>
        </w:rPr>
        <w:t xml:space="preserve">      </w:t>
      </w:r>
    </w:p>
    <w:p w:rsidR="00130AB6" w:rsidRDefault="002C7D32">
      <w:pPr>
        <w:spacing w:after="211" w:line="267" w:lineRule="auto"/>
        <w:ind w:right="0"/>
        <w:jc w:val="center"/>
      </w:pPr>
      <w:r>
        <w:rPr>
          <w:b/>
        </w:rPr>
        <w:t>DOENÇA CELÍACA: UM PERFIL CLÍNICO-</w:t>
      </w:r>
      <w:r>
        <w:rPr>
          <w:b/>
        </w:rPr>
        <w:t>EPIDEMIOLÓGICO DOS INDIVÍDUOS MEMBROS DA ACELBRA-BA</w:t>
      </w:r>
      <w:r>
        <w:rPr>
          <w:b/>
          <w:color w:val="FF0000"/>
        </w:rPr>
        <w:t xml:space="preserve"> </w:t>
      </w:r>
    </w:p>
    <w:p w:rsidR="00130AB6" w:rsidRDefault="002C7D32">
      <w:pPr>
        <w:spacing w:after="0" w:line="450" w:lineRule="auto"/>
        <w:ind w:left="4537" w:right="4525" w:firstLine="0"/>
        <w:jc w:val="center"/>
      </w:pPr>
      <w:r>
        <w:rPr>
          <w:b/>
          <w:color w:val="FF0000"/>
        </w:rPr>
        <w:t xml:space="preserve">   </w:t>
      </w:r>
    </w:p>
    <w:p w:rsidR="00130AB6" w:rsidRDefault="002C7D32">
      <w:pPr>
        <w:spacing w:after="204" w:line="259" w:lineRule="auto"/>
        <w:ind w:left="12" w:right="0" w:firstLine="0"/>
        <w:jc w:val="center"/>
      </w:pPr>
      <w:r>
        <w:rPr>
          <w:b/>
          <w:color w:val="FF0000"/>
        </w:rPr>
        <w:t xml:space="preserve"> </w:t>
      </w:r>
    </w:p>
    <w:p w:rsidR="00130AB6" w:rsidRDefault="002C7D32">
      <w:pPr>
        <w:spacing w:after="213" w:line="259" w:lineRule="auto"/>
        <w:ind w:left="3541" w:right="0" w:firstLine="0"/>
        <w:jc w:val="left"/>
      </w:pPr>
      <w:r>
        <w:rPr>
          <w:sz w:val="22"/>
        </w:rPr>
        <w:t xml:space="preserve"> </w:t>
      </w:r>
    </w:p>
    <w:p w:rsidR="00130AB6" w:rsidRDefault="002C7D32">
      <w:pPr>
        <w:spacing w:after="208" w:line="268" w:lineRule="auto"/>
        <w:ind w:left="3536" w:right="38"/>
      </w:pPr>
      <w:r>
        <w:rPr>
          <w:sz w:val="22"/>
        </w:rPr>
        <w:t xml:space="preserve">Trabalho de Conclusão de Curso apresentado ao Curso de Graduação em Medicina da Escola </w:t>
      </w:r>
      <w:proofErr w:type="spellStart"/>
      <w:r>
        <w:rPr>
          <w:sz w:val="22"/>
        </w:rPr>
        <w:t>Bahiana</w:t>
      </w:r>
      <w:proofErr w:type="spellEnd"/>
      <w:r>
        <w:rPr>
          <w:sz w:val="22"/>
        </w:rPr>
        <w:t xml:space="preserve"> de Medicina e Saúde Pública como requisito parcial para aprovação no 4º ano de Medicina </w:t>
      </w:r>
    </w:p>
    <w:p w:rsidR="00130AB6" w:rsidRDefault="002C7D32">
      <w:pPr>
        <w:spacing w:after="208" w:line="268" w:lineRule="auto"/>
        <w:ind w:left="3536" w:right="38"/>
      </w:pPr>
      <w:r>
        <w:rPr>
          <w:sz w:val="22"/>
        </w:rPr>
        <w:lastRenderedPageBreak/>
        <w:t xml:space="preserve">Orientadora: Maria Conceição Galvão Sampaio </w:t>
      </w:r>
    </w:p>
    <w:p w:rsidR="00130AB6" w:rsidRDefault="002C7D32">
      <w:pPr>
        <w:spacing w:after="0" w:line="450" w:lineRule="auto"/>
        <w:ind w:left="4537" w:right="4525" w:firstLine="0"/>
        <w:jc w:val="center"/>
      </w:pPr>
      <w:r>
        <w:rPr>
          <w:b/>
          <w:color w:val="FF0000"/>
        </w:rPr>
        <w:t xml:space="preserve">    </w:t>
      </w:r>
    </w:p>
    <w:p w:rsidR="00130AB6" w:rsidRDefault="002C7D32">
      <w:pPr>
        <w:spacing w:after="220" w:line="259" w:lineRule="auto"/>
        <w:ind w:left="12" w:right="0" w:firstLine="0"/>
        <w:jc w:val="center"/>
      </w:pPr>
      <w:r>
        <w:rPr>
          <w:b/>
          <w:color w:val="FF0000"/>
        </w:rPr>
        <w:t xml:space="preserve"> </w:t>
      </w:r>
    </w:p>
    <w:p w:rsidR="00130AB6" w:rsidRDefault="002C7D32">
      <w:pPr>
        <w:spacing w:after="1" w:line="450" w:lineRule="auto"/>
        <w:ind w:left="0" w:right="9062" w:firstLine="0"/>
        <w:jc w:val="left"/>
      </w:pPr>
      <w:r>
        <w:rPr>
          <w:b/>
        </w:rPr>
        <w:t xml:space="preserve">   </w:t>
      </w:r>
    </w:p>
    <w:p w:rsidR="00130AB6" w:rsidRDefault="002C7D32">
      <w:pPr>
        <w:spacing w:after="211" w:line="267" w:lineRule="auto"/>
        <w:ind w:right="55"/>
        <w:jc w:val="center"/>
      </w:pPr>
      <w:r>
        <w:rPr>
          <w:b/>
        </w:rPr>
        <w:t xml:space="preserve">SALVADOR - BA 2023 </w:t>
      </w:r>
    </w:p>
    <w:p w:rsidR="00130AB6" w:rsidRDefault="002C7D32">
      <w:pPr>
        <w:spacing w:after="51" w:line="267" w:lineRule="auto"/>
        <w:ind w:right="59"/>
        <w:jc w:val="center"/>
      </w:pPr>
      <w:r>
        <w:rPr>
          <w:b/>
        </w:rPr>
        <w:t xml:space="preserve">RESUMO </w:t>
      </w:r>
    </w:p>
    <w:p w:rsidR="00130AB6" w:rsidRDefault="002C7D32">
      <w:pPr>
        <w:spacing w:after="142" w:line="259" w:lineRule="auto"/>
        <w:ind w:left="0" w:right="0" w:firstLine="0"/>
        <w:jc w:val="left"/>
      </w:pPr>
      <w:r>
        <w:rPr>
          <w:rFonts w:ascii="Calibri" w:eastAsia="Calibri" w:hAnsi="Calibri" w:cs="Calibri"/>
          <w:color w:val="212529"/>
          <w:sz w:val="18"/>
        </w:rPr>
        <w:t xml:space="preserve"> </w:t>
      </w:r>
    </w:p>
    <w:p w:rsidR="00130AB6" w:rsidRDefault="002C7D32">
      <w:pPr>
        <w:spacing w:after="0" w:line="240" w:lineRule="auto"/>
        <w:ind w:left="-5"/>
      </w:pPr>
      <w:bookmarkStart w:id="0" w:name="_GoBack"/>
      <w:r>
        <w:rPr>
          <w:b/>
        </w:rPr>
        <w:t>Introdução:</w:t>
      </w:r>
      <w:r>
        <w:t xml:space="preserve"> A doença celíaca trata-</w:t>
      </w:r>
      <w:r>
        <w:t xml:space="preserve">se de uma síndrome de mal absorção ocasionada pela ingestão de alimentos que contêm glúten, como trigo, centeio e cevada. É caracterizada por inflamação do intestino delgado, perda da estrutura de microvilosidades e falha na absorção intestinal. </w:t>
      </w:r>
      <w:r>
        <w:rPr>
          <w:b/>
        </w:rPr>
        <w:t>Objetivos:</w:t>
      </w:r>
      <w:r>
        <w:t xml:space="preserve"> Descrever o perfil </w:t>
      </w:r>
      <w:proofErr w:type="spellStart"/>
      <w:r>
        <w:t>clínicoepidemiológico</w:t>
      </w:r>
      <w:proofErr w:type="spellEnd"/>
      <w:r>
        <w:t xml:space="preserve"> dos indivíduos membros da ACELBRA-BA, portadores da Doença Celíaca. </w:t>
      </w:r>
      <w:r>
        <w:rPr>
          <w:b/>
        </w:rPr>
        <w:t>Métodos:</w:t>
      </w:r>
      <w:r>
        <w:t xml:space="preserve"> Estudo descritivo realizado através de um questionário virtual, com coleta de dados sociodemográficos, informações clínicas, hábitos de v</w:t>
      </w:r>
      <w:r>
        <w:t xml:space="preserve">ida, bem como complicações associadas. Foram incluídos os indivíduos maiores de 18 anos com diagnóstico de doença celíaca e residentes no estado da Bahia. </w:t>
      </w:r>
      <w:r>
        <w:rPr>
          <w:b/>
        </w:rPr>
        <w:t>Resultados:</w:t>
      </w:r>
      <w:r>
        <w:t xml:space="preserve"> Totalizou-se 102 entrevistados. </w:t>
      </w:r>
      <w:r>
        <w:t>A maioria dos participantes era do sexo feminino (proporção de 47:2), em idade adulta e habitantes da cidade de Salvador (80,4%).  Ainda, muitos possuíam alta escolaridade, renda acima de um salário-mínimo e acesso ao sistema privado de saúde. O perfil clí</w:t>
      </w:r>
      <w:r>
        <w:t>nico encontrado pela maioria correspondeu a apresentação clássica da doença, no qual os principais sintomas relatados foram do sistema gastrointestinal, como flatulências (</w:t>
      </w:r>
      <w:r>
        <w:rPr>
          <w:color w:val="202124"/>
        </w:rPr>
        <w:t>96,1%)</w:t>
      </w:r>
      <w:r>
        <w:t>, distensão (</w:t>
      </w:r>
      <w:r>
        <w:rPr>
          <w:color w:val="202124"/>
        </w:rPr>
        <w:t xml:space="preserve">96,1%) </w:t>
      </w:r>
      <w:r>
        <w:t>e dor abdominal (</w:t>
      </w:r>
      <w:r>
        <w:rPr>
          <w:color w:val="202124"/>
        </w:rPr>
        <w:t>95,1%)</w:t>
      </w:r>
      <w:r>
        <w:t>. No que tange ao diagnóstico, 91,2</w:t>
      </w:r>
      <w:r>
        <w:t xml:space="preserve">% dos participantes referiram pesquisa endoscópica com biópsia duodenal </w:t>
      </w:r>
      <w:proofErr w:type="spellStart"/>
      <w:r>
        <w:t>laudada</w:t>
      </w:r>
      <w:proofErr w:type="spellEnd"/>
      <w:r>
        <w:t xml:space="preserve"> com atrofia de vilosidades no padrão de doença celíaca. A maioria dos indivíduos também realizou testes sorológicos e obtiveram resultado positivo para doença. 69,6% negaram hi</w:t>
      </w:r>
      <w:r>
        <w:t xml:space="preserve">stórico familiar de doença celíaca. Ademais, muitos relataram atraso no diagnóstico, prevalecendo buscas superiores a um ano. Doenças associadas e complicações foram relatadas, destacando-se a dermatite </w:t>
      </w:r>
      <w:proofErr w:type="spellStart"/>
      <w:r>
        <w:t>herpetiforme</w:t>
      </w:r>
      <w:proofErr w:type="spellEnd"/>
      <w:r>
        <w:t xml:space="preserve"> (49%). </w:t>
      </w:r>
      <w:r>
        <w:rPr>
          <w:b/>
        </w:rPr>
        <w:t>Conclusão:</w:t>
      </w:r>
      <w:r>
        <w:t xml:space="preserve"> Os resultados demonstr</w:t>
      </w:r>
      <w:r>
        <w:t xml:space="preserve">aram a variedade e importância da doença celíaca, a qual necessita de maior atenção da equipe médica e população civil. </w:t>
      </w:r>
    </w:p>
    <w:bookmarkEnd w:id="0"/>
    <w:p w:rsidR="00130AB6" w:rsidRDefault="002C7D32">
      <w:pPr>
        <w:spacing w:after="117" w:line="259" w:lineRule="auto"/>
        <w:ind w:left="0" w:right="0" w:firstLine="0"/>
        <w:jc w:val="left"/>
      </w:pPr>
      <w:r>
        <w:rPr>
          <w:color w:val="FFD966"/>
        </w:rPr>
        <w:t xml:space="preserve"> </w:t>
      </w:r>
    </w:p>
    <w:p w:rsidR="00130AB6" w:rsidRDefault="002C7D32">
      <w:pPr>
        <w:spacing w:after="115" w:line="259" w:lineRule="auto"/>
        <w:ind w:left="0" w:right="0" w:firstLine="0"/>
        <w:jc w:val="left"/>
      </w:pPr>
      <w:r>
        <w:t xml:space="preserve"> </w:t>
      </w:r>
    </w:p>
    <w:p w:rsidR="00130AB6" w:rsidRPr="00E06D62" w:rsidRDefault="002C7D32">
      <w:pPr>
        <w:spacing w:after="115" w:line="259" w:lineRule="auto"/>
        <w:ind w:left="-5" w:right="167"/>
        <w:rPr>
          <w:lang w:val="en-US"/>
        </w:rPr>
      </w:pPr>
      <w:r>
        <w:rPr>
          <w:b/>
        </w:rPr>
        <w:t>Palavras-chave:</w:t>
      </w:r>
      <w:r>
        <w:t xml:space="preserve"> Doença celíaca. </w:t>
      </w:r>
      <w:proofErr w:type="spellStart"/>
      <w:r>
        <w:t>Enteropatia</w:t>
      </w:r>
      <w:proofErr w:type="spellEnd"/>
      <w:r>
        <w:t xml:space="preserve"> glúten induzida. </w:t>
      </w:r>
      <w:proofErr w:type="spellStart"/>
      <w:r w:rsidRPr="00E06D62">
        <w:rPr>
          <w:lang w:val="en-US"/>
        </w:rPr>
        <w:t>Espru</w:t>
      </w:r>
      <w:proofErr w:type="spellEnd"/>
      <w:r w:rsidRPr="00E06D62">
        <w:rPr>
          <w:lang w:val="en-US"/>
        </w:rPr>
        <w:t xml:space="preserve"> </w:t>
      </w:r>
      <w:proofErr w:type="spellStart"/>
      <w:r w:rsidRPr="00E06D62">
        <w:rPr>
          <w:lang w:val="en-US"/>
        </w:rPr>
        <w:t>celíaco</w:t>
      </w:r>
      <w:proofErr w:type="spellEnd"/>
      <w:r w:rsidRPr="00E06D62">
        <w:rPr>
          <w:lang w:val="en-US"/>
        </w:rPr>
        <w:t xml:space="preserve">. </w:t>
      </w:r>
    </w:p>
    <w:p w:rsidR="00130AB6" w:rsidRPr="00E06D62" w:rsidRDefault="002C7D32">
      <w:pPr>
        <w:spacing w:after="117"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t xml:space="preserve"> </w:t>
      </w:r>
    </w:p>
    <w:p w:rsidR="00130AB6" w:rsidRPr="00E06D62" w:rsidRDefault="002C7D32">
      <w:pPr>
        <w:spacing w:after="117"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t xml:space="preserve"> </w:t>
      </w:r>
    </w:p>
    <w:p w:rsidR="00130AB6" w:rsidRPr="00E06D62" w:rsidRDefault="002C7D32">
      <w:pPr>
        <w:spacing w:after="118"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t xml:space="preserve"> </w:t>
      </w:r>
    </w:p>
    <w:p w:rsidR="00130AB6" w:rsidRPr="00E06D62" w:rsidRDefault="002C7D32">
      <w:pPr>
        <w:spacing w:after="117"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lastRenderedPageBreak/>
        <w:t xml:space="preserve"> </w:t>
      </w:r>
    </w:p>
    <w:p w:rsidR="00130AB6" w:rsidRPr="00E06D62" w:rsidRDefault="002C7D32">
      <w:pPr>
        <w:spacing w:after="117"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t xml:space="preserve"> </w:t>
      </w:r>
    </w:p>
    <w:p w:rsidR="00130AB6" w:rsidRPr="00E06D62" w:rsidRDefault="002C7D32">
      <w:pPr>
        <w:spacing w:after="117" w:line="259" w:lineRule="auto"/>
        <w:ind w:left="0" w:right="0" w:firstLine="0"/>
        <w:jc w:val="left"/>
        <w:rPr>
          <w:lang w:val="en-US"/>
        </w:rPr>
      </w:pPr>
      <w:r w:rsidRPr="00E06D62">
        <w:rPr>
          <w:color w:val="212529"/>
          <w:lang w:val="en-US"/>
        </w:rPr>
        <w:t xml:space="preserve"> </w:t>
      </w:r>
    </w:p>
    <w:p w:rsidR="00130AB6" w:rsidRPr="00E06D62" w:rsidRDefault="002C7D32">
      <w:pPr>
        <w:spacing w:after="115" w:line="259" w:lineRule="auto"/>
        <w:ind w:left="0" w:right="0" w:firstLine="0"/>
        <w:jc w:val="left"/>
        <w:rPr>
          <w:lang w:val="en-US"/>
        </w:rPr>
      </w:pPr>
      <w:r w:rsidRPr="00E06D62">
        <w:rPr>
          <w:color w:val="212529"/>
          <w:lang w:val="en-US"/>
        </w:rPr>
        <w:t xml:space="preserve"> </w:t>
      </w:r>
    </w:p>
    <w:p w:rsidR="00130AB6" w:rsidRPr="00E06D62" w:rsidRDefault="002C7D32">
      <w:pPr>
        <w:spacing w:after="0" w:line="259" w:lineRule="auto"/>
        <w:ind w:left="0" w:right="0" w:firstLine="0"/>
        <w:jc w:val="left"/>
        <w:rPr>
          <w:lang w:val="en-US"/>
        </w:rPr>
      </w:pPr>
      <w:r w:rsidRPr="00E06D62">
        <w:rPr>
          <w:color w:val="212529"/>
          <w:lang w:val="en-US"/>
        </w:rPr>
        <w:t xml:space="preserve"> </w:t>
      </w:r>
    </w:p>
    <w:p w:rsidR="00130AB6" w:rsidRPr="00E06D62" w:rsidRDefault="002C7D32">
      <w:pPr>
        <w:spacing w:after="396" w:line="259" w:lineRule="auto"/>
        <w:ind w:left="0" w:right="56" w:firstLine="0"/>
        <w:jc w:val="center"/>
        <w:rPr>
          <w:lang w:val="en-US"/>
        </w:rPr>
      </w:pPr>
      <w:r w:rsidRPr="00E06D62">
        <w:rPr>
          <w:b/>
          <w:color w:val="212529"/>
          <w:lang w:val="en-US"/>
        </w:rPr>
        <w:t xml:space="preserve">ABSTRACT </w:t>
      </w:r>
    </w:p>
    <w:p w:rsidR="00130AB6" w:rsidRPr="00E06D62" w:rsidRDefault="002C7D32">
      <w:pPr>
        <w:spacing w:after="269" w:line="250" w:lineRule="auto"/>
        <w:ind w:left="-5" w:right="38"/>
        <w:rPr>
          <w:lang w:val="en-US"/>
        </w:rPr>
      </w:pPr>
      <w:r w:rsidRPr="00E06D62">
        <w:rPr>
          <w:b/>
          <w:color w:val="212529"/>
          <w:lang w:val="en-US"/>
        </w:rPr>
        <w:t>Introduction:</w:t>
      </w:r>
      <w:r w:rsidRPr="00E06D62">
        <w:rPr>
          <w:color w:val="212529"/>
          <w:lang w:val="en-US"/>
        </w:rPr>
        <w:t xml:space="preserve"> </w:t>
      </w:r>
      <w:r w:rsidRPr="00E06D62">
        <w:rPr>
          <w:color w:val="212529"/>
          <w:lang w:val="en-US"/>
        </w:rPr>
        <w:t xml:space="preserve">Celiac disease is a malabsorption syndrome caused by the ingestion of foods that contain gluten, such as wheat, rye and barley. It is characterized by inflammation of the small intestine, loss of microvilli structure and failure of intestinal absorption. </w:t>
      </w:r>
      <w:r w:rsidRPr="00E06D62">
        <w:rPr>
          <w:b/>
          <w:color w:val="212529"/>
          <w:lang w:val="en-US"/>
        </w:rPr>
        <w:t>O</w:t>
      </w:r>
      <w:r w:rsidRPr="00E06D62">
        <w:rPr>
          <w:b/>
          <w:color w:val="212529"/>
          <w:lang w:val="en-US"/>
        </w:rPr>
        <w:t>bjectives:</w:t>
      </w:r>
      <w:r w:rsidRPr="00E06D62">
        <w:rPr>
          <w:color w:val="212529"/>
          <w:lang w:val="en-US"/>
        </w:rPr>
        <w:t xml:space="preserve"> Describe the clinical-epidemiological profile of individuals who are members of ACELBRA-BA and suffer from Celiac Disease. </w:t>
      </w:r>
      <w:r w:rsidRPr="00E06D62">
        <w:rPr>
          <w:b/>
          <w:color w:val="212529"/>
          <w:lang w:val="en-US"/>
        </w:rPr>
        <w:t>Methods:</w:t>
      </w:r>
      <w:r w:rsidRPr="00E06D62">
        <w:rPr>
          <w:color w:val="212529"/>
          <w:lang w:val="en-US"/>
        </w:rPr>
        <w:t xml:space="preserve"> Descriptive study carried out using a virtual questionnaire, collecting sociodemographic data, clinical informati</w:t>
      </w:r>
      <w:r w:rsidRPr="00E06D62">
        <w:rPr>
          <w:color w:val="212529"/>
          <w:lang w:val="en-US"/>
        </w:rPr>
        <w:t xml:space="preserve">on, lifestyle habits, as well as associated complications. Individuals over 18 years of age diagnosed with celiac disease and residing in the state of Bahia were included. </w:t>
      </w:r>
      <w:r w:rsidRPr="00E06D62">
        <w:rPr>
          <w:b/>
          <w:color w:val="212529"/>
          <w:lang w:val="en-US"/>
        </w:rPr>
        <w:t>Results:</w:t>
      </w:r>
      <w:r w:rsidRPr="00E06D62">
        <w:rPr>
          <w:color w:val="212529"/>
          <w:lang w:val="en-US"/>
        </w:rPr>
        <w:t xml:space="preserve"> There were 102 interviewees, all over 18 years old with a diagnosis of celi</w:t>
      </w:r>
      <w:r w:rsidRPr="00E06D62">
        <w:rPr>
          <w:color w:val="212529"/>
          <w:lang w:val="en-US"/>
        </w:rPr>
        <w:t xml:space="preserve">ac disease and residing in the state of Bahia. Most participants were female (ratio 47:2), adults and inhabitants of the city of Salvador (80.4%). Furthermore, many had high education, income above the minimum wage and access to the private health system. </w:t>
      </w:r>
      <w:r w:rsidRPr="00E06D62">
        <w:rPr>
          <w:color w:val="212529"/>
          <w:lang w:val="en-US"/>
        </w:rPr>
        <w:t>The clinical profile found by the majority corresponded to the classic presentation of the disease, in which the main symptoms reported were those of the gastrointestinal system, such as flatulence (96.1%), bloating (96.1%) and abdominal pain (95.1%). Rega</w:t>
      </w:r>
      <w:r w:rsidRPr="00E06D62">
        <w:rPr>
          <w:color w:val="212529"/>
          <w:lang w:val="en-US"/>
        </w:rPr>
        <w:t>rding diagnosis, 91.2% of participants reported endoscopic research with duodenal biopsy reporting villous atrophy in the pattern of celiac disease. Most individuals also underwent serological tests and obtained positive results for the disease. 69.6% deni</w:t>
      </w:r>
      <w:r w:rsidRPr="00E06D62">
        <w:rPr>
          <w:color w:val="212529"/>
          <w:lang w:val="en-US"/>
        </w:rPr>
        <w:t xml:space="preserve">ed a family history of celiac disease. Furthermore, many reported delays in diagnosis, with searches lasting longer than a year prevailing. Associated diseases and complications were reported, most notably dermatitis herpetiformis (49%). </w:t>
      </w:r>
      <w:r w:rsidRPr="00E06D62">
        <w:rPr>
          <w:b/>
          <w:color w:val="212529"/>
          <w:lang w:val="en-US"/>
        </w:rPr>
        <w:t>Conclusion:</w:t>
      </w:r>
      <w:r w:rsidRPr="00E06D62">
        <w:rPr>
          <w:color w:val="212529"/>
          <w:lang w:val="en-US"/>
        </w:rPr>
        <w:t xml:space="preserve"> The re</w:t>
      </w:r>
      <w:r w:rsidRPr="00E06D62">
        <w:rPr>
          <w:color w:val="212529"/>
          <w:lang w:val="en-US"/>
        </w:rPr>
        <w:t xml:space="preserve">sults demonstrated the variety and importance of celiac disease, which requires greater attention from the medical team and the civilian population. </w:t>
      </w:r>
    </w:p>
    <w:p w:rsidR="00130AB6" w:rsidRPr="00E06D62" w:rsidRDefault="002C7D32">
      <w:pPr>
        <w:spacing w:after="259" w:line="259" w:lineRule="auto"/>
        <w:ind w:left="0" w:right="0" w:firstLine="0"/>
        <w:jc w:val="left"/>
        <w:rPr>
          <w:lang w:val="en-US"/>
        </w:rPr>
      </w:pPr>
      <w:r w:rsidRPr="00E06D62">
        <w:rPr>
          <w:color w:val="212529"/>
          <w:lang w:val="en-US"/>
        </w:rPr>
        <w:t xml:space="preserve"> </w:t>
      </w:r>
    </w:p>
    <w:p w:rsidR="00130AB6" w:rsidRDefault="002C7D32">
      <w:pPr>
        <w:spacing w:after="269" w:line="250" w:lineRule="auto"/>
        <w:ind w:left="-5" w:right="38"/>
      </w:pPr>
      <w:r w:rsidRPr="00E06D62">
        <w:rPr>
          <w:b/>
          <w:color w:val="212529"/>
          <w:lang w:val="en-US"/>
        </w:rPr>
        <w:t>Keywords</w:t>
      </w:r>
      <w:r w:rsidRPr="00E06D62">
        <w:rPr>
          <w:color w:val="212529"/>
          <w:lang w:val="en-US"/>
        </w:rPr>
        <w:t xml:space="preserve">: Celiac Sprue. Gluten Sensitive Enteropathy. </w:t>
      </w:r>
      <w:proofErr w:type="spellStart"/>
      <w:r>
        <w:rPr>
          <w:color w:val="212529"/>
        </w:rPr>
        <w:t>Nontropical</w:t>
      </w:r>
      <w:proofErr w:type="spellEnd"/>
      <w:r>
        <w:rPr>
          <w:color w:val="212529"/>
        </w:rPr>
        <w:t xml:space="preserve"> </w:t>
      </w:r>
      <w:proofErr w:type="spellStart"/>
      <w:r>
        <w:rPr>
          <w:color w:val="212529"/>
        </w:rPr>
        <w:t>Sprue</w:t>
      </w:r>
      <w:proofErr w:type="spellEnd"/>
      <w:r>
        <w:rPr>
          <w:color w:val="212529"/>
        </w:rPr>
        <w:t xml:space="preserve">. </w:t>
      </w:r>
    </w:p>
    <w:p w:rsidR="00130AB6" w:rsidRDefault="002C7D32">
      <w:pPr>
        <w:spacing w:after="256" w:line="259" w:lineRule="auto"/>
        <w:ind w:left="0" w:right="0" w:firstLine="0"/>
        <w:jc w:val="left"/>
      </w:pPr>
      <w:r>
        <w:rPr>
          <w:color w:val="212529"/>
        </w:rPr>
        <w:t xml:space="preserve"> </w:t>
      </w:r>
    </w:p>
    <w:p w:rsidR="00130AB6" w:rsidRDefault="002C7D32">
      <w:pPr>
        <w:spacing w:after="259" w:line="259" w:lineRule="auto"/>
        <w:ind w:left="0" w:right="0" w:firstLine="0"/>
        <w:jc w:val="left"/>
      </w:pPr>
      <w:r>
        <w:rPr>
          <w:color w:val="212529"/>
        </w:rPr>
        <w:t xml:space="preserve"> </w:t>
      </w:r>
    </w:p>
    <w:p w:rsidR="00130AB6" w:rsidRDefault="002C7D32">
      <w:pPr>
        <w:spacing w:after="115" w:line="259" w:lineRule="auto"/>
        <w:ind w:left="0" w:right="0" w:firstLine="0"/>
        <w:jc w:val="left"/>
      </w:pPr>
      <w:r>
        <w:rPr>
          <w:color w:val="212529"/>
        </w:rPr>
        <w:t xml:space="preserve"> </w:t>
      </w:r>
    </w:p>
    <w:p w:rsidR="00130AB6" w:rsidRDefault="002C7D32">
      <w:pPr>
        <w:spacing w:after="118" w:line="259" w:lineRule="auto"/>
        <w:ind w:left="0" w:right="0" w:firstLine="0"/>
        <w:jc w:val="left"/>
      </w:pPr>
      <w:r>
        <w:rPr>
          <w:color w:val="212529"/>
        </w:rPr>
        <w:t xml:space="preserve"> </w:t>
      </w:r>
    </w:p>
    <w:p w:rsidR="00130AB6" w:rsidRDefault="002C7D32">
      <w:pPr>
        <w:spacing w:after="115" w:line="259" w:lineRule="auto"/>
        <w:ind w:left="0" w:right="0" w:firstLine="0"/>
        <w:jc w:val="left"/>
      </w:pPr>
      <w:r>
        <w:rPr>
          <w:color w:val="212529"/>
        </w:rPr>
        <w:t xml:space="preserve"> </w:t>
      </w:r>
    </w:p>
    <w:p w:rsidR="00130AB6" w:rsidRDefault="002C7D32">
      <w:pPr>
        <w:spacing w:after="117" w:line="259" w:lineRule="auto"/>
        <w:ind w:left="0" w:right="0" w:firstLine="0"/>
        <w:jc w:val="left"/>
      </w:pPr>
      <w:r>
        <w:rPr>
          <w:color w:val="212529"/>
        </w:rPr>
        <w:t xml:space="preserve"> </w:t>
      </w:r>
    </w:p>
    <w:p w:rsidR="00130AB6" w:rsidRDefault="002C7D32">
      <w:pPr>
        <w:spacing w:after="115" w:line="259" w:lineRule="auto"/>
        <w:ind w:left="0" w:right="0" w:firstLine="0"/>
        <w:jc w:val="left"/>
      </w:pPr>
      <w:r>
        <w:rPr>
          <w:color w:val="212529"/>
        </w:rPr>
        <w:lastRenderedPageBreak/>
        <w:t xml:space="preserve"> </w:t>
      </w:r>
    </w:p>
    <w:p w:rsidR="00130AB6" w:rsidRDefault="002C7D32">
      <w:pPr>
        <w:spacing w:after="117" w:line="259" w:lineRule="auto"/>
        <w:ind w:left="0" w:right="0" w:firstLine="0"/>
        <w:jc w:val="left"/>
      </w:pPr>
      <w:r>
        <w:rPr>
          <w:color w:val="212529"/>
        </w:rPr>
        <w:t xml:space="preserve"> </w:t>
      </w:r>
    </w:p>
    <w:p w:rsidR="00130AB6" w:rsidRDefault="002C7D32">
      <w:pPr>
        <w:spacing w:after="115" w:line="259" w:lineRule="auto"/>
        <w:ind w:left="0" w:right="0" w:firstLine="0"/>
        <w:jc w:val="left"/>
      </w:pPr>
      <w:r>
        <w:rPr>
          <w:color w:val="212529"/>
        </w:rPr>
        <w:t xml:space="preserve"> </w:t>
      </w:r>
    </w:p>
    <w:p w:rsidR="00130AB6" w:rsidRDefault="002C7D32">
      <w:pPr>
        <w:spacing w:after="117" w:line="259" w:lineRule="auto"/>
        <w:ind w:left="0" w:right="0" w:firstLine="0"/>
        <w:jc w:val="left"/>
      </w:pPr>
      <w:r>
        <w:rPr>
          <w:color w:val="212529"/>
        </w:rPr>
        <w:t xml:space="preserve"> </w:t>
      </w:r>
    </w:p>
    <w:p w:rsidR="00130AB6" w:rsidRDefault="002C7D32">
      <w:pPr>
        <w:spacing w:after="115" w:line="259" w:lineRule="auto"/>
        <w:ind w:left="0" w:right="0" w:firstLine="0"/>
        <w:jc w:val="left"/>
      </w:pPr>
      <w:r>
        <w:rPr>
          <w:color w:val="212529"/>
        </w:rPr>
        <w:t xml:space="preserve"> </w:t>
      </w:r>
    </w:p>
    <w:p w:rsidR="00130AB6" w:rsidRDefault="002C7D32">
      <w:pPr>
        <w:spacing w:after="0" w:line="259" w:lineRule="auto"/>
        <w:ind w:left="0" w:right="0" w:firstLine="0"/>
        <w:jc w:val="left"/>
      </w:pPr>
      <w:r>
        <w:rPr>
          <w:color w:val="212529"/>
        </w:rPr>
        <w:t xml:space="preserve"> </w:t>
      </w:r>
    </w:p>
    <w:sdt>
      <w:sdtPr>
        <w:rPr>
          <w:b w:val="0"/>
        </w:rPr>
        <w:id w:val="291800734"/>
        <w:docPartObj>
          <w:docPartGallery w:val="Table of Contents"/>
        </w:docPartObj>
      </w:sdtPr>
      <w:sdtEndPr/>
      <w:sdtContent>
        <w:p w:rsidR="00130AB6" w:rsidRDefault="002C7D32">
          <w:pPr>
            <w:pStyle w:val="Sumrio1"/>
            <w:tabs>
              <w:tab w:val="right" w:pos="9129"/>
            </w:tabs>
          </w:pPr>
          <w:r>
            <w:fldChar w:fldCharType="begin"/>
          </w:r>
          <w:r>
            <w:instrText xml:space="preserve"> TOC \o "1-2" \h \z \u </w:instrText>
          </w:r>
          <w:r>
            <w:fldChar w:fldCharType="separate"/>
          </w:r>
          <w:hyperlink w:anchor="_Toc59533">
            <w:r>
              <w:t>SUMÁRIO  1  INTRODUÇÃO</w:t>
            </w:r>
            <w:r>
              <w:tab/>
            </w:r>
            <w:r>
              <w:fldChar w:fldCharType="begin"/>
            </w:r>
            <w:r>
              <w:instrText>PAGEREF _Toc59533 \h</w:instrText>
            </w:r>
            <w:r>
              <w:fldChar w:fldCharType="separate"/>
            </w:r>
            <w:r>
              <w:t xml:space="preserve">6 </w:t>
            </w:r>
            <w:r>
              <w:fldChar w:fldCharType="end"/>
            </w:r>
          </w:hyperlink>
        </w:p>
        <w:p w:rsidR="00130AB6" w:rsidRDefault="002C7D32">
          <w:pPr>
            <w:pStyle w:val="Sumrio1"/>
            <w:tabs>
              <w:tab w:val="right" w:pos="9129"/>
            </w:tabs>
          </w:pPr>
          <w:hyperlink w:anchor="_Toc59534">
            <w:r>
              <w:t>2  OBJETIVOS</w:t>
            </w:r>
            <w:r>
              <w:tab/>
            </w:r>
            <w:r>
              <w:fldChar w:fldCharType="begin"/>
            </w:r>
            <w:r>
              <w:instrText>PAGEREF _Toc59534 \h</w:instrText>
            </w:r>
            <w:r>
              <w:fldChar w:fldCharType="separate"/>
            </w:r>
            <w:r>
              <w:t xml:space="preserve">8 </w:t>
            </w:r>
            <w:r>
              <w:fldChar w:fldCharType="end"/>
            </w:r>
          </w:hyperlink>
        </w:p>
        <w:p w:rsidR="00130AB6" w:rsidRDefault="002C7D32">
          <w:pPr>
            <w:pStyle w:val="Sumrio2"/>
            <w:tabs>
              <w:tab w:val="right" w:pos="9129"/>
            </w:tabs>
          </w:pPr>
          <w:hyperlink w:anchor="_Toc59535">
            <w:r>
              <w:t>2.1 Objetivo Geral</w:t>
            </w:r>
            <w:r>
              <w:tab/>
            </w:r>
            <w:r>
              <w:fldChar w:fldCharType="begin"/>
            </w:r>
            <w:r>
              <w:instrText>PAGEREF _Toc59535 \h</w:instrText>
            </w:r>
            <w:r>
              <w:fldChar w:fldCharType="separate"/>
            </w:r>
            <w:r>
              <w:t xml:space="preserve">8 </w:t>
            </w:r>
            <w:r>
              <w:fldChar w:fldCharType="end"/>
            </w:r>
          </w:hyperlink>
        </w:p>
        <w:p w:rsidR="00130AB6" w:rsidRDefault="002C7D32">
          <w:pPr>
            <w:pStyle w:val="Sumrio2"/>
            <w:tabs>
              <w:tab w:val="right" w:pos="9129"/>
            </w:tabs>
          </w:pPr>
          <w:hyperlink w:anchor="_Toc59536">
            <w:r>
              <w:t>2.2 Objetivos Específicos</w:t>
            </w:r>
            <w:r>
              <w:tab/>
            </w:r>
            <w:r>
              <w:fldChar w:fldCharType="begin"/>
            </w:r>
            <w:r>
              <w:instrText>PAGEREF _Toc59536 \</w:instrText>
            </w:r>
            <w:r>
              <w:instrText>h</w:instrText>
            </w:r>
            <w:r>
              <w:fldChar w:fldCharType="separate"/>
            </w:r>
            <w:r>
              <w:t xml:space="preserve">8 </w:t>
            </w:r>
            <w:r>
              <w:fldChar w:fldCharType="end"/>
            </w:r>
          </w:hyperlink>
        </w:p>
        <w:p w:rsidR="00130AB6" w:rsidRDefault="002C7D32">
          <w:pPr>
            <w:pStyle w:val="Sumrio1"/>
            <w:tabs>
              <w:tab w:val="right" w:pos="9129"/>
            </w:tabs>
          </w:pPr>
          <w:hyperlink w:anchor="_Toc59537">
            <w:r>
              <w:t>3  REVISÃO DE LITERATURA</w:t>
            </w:r>
            <w:r>
              <w:tab/>
            </w:r>
            <w:r>
              <w:fldChar w:fldCharType="begin"/>
            </w:r>
            <w:r>
              <w:instrText>PAGEREF _Toc59537 \h</w:instrText>
            </w:r>
            <w:r>
              <w:fldChar w:fldCharType="separate"/>
            </w:r>
            <w:r>
              <w:t xml:space="preserve">9 </w:t>
            </w:r>
            <w:r>
              <w:fldChar w:fldCharType="end"/>
            </w:r>
          </w:hyperlink>
        </w:p>
        <w:p w:rsidR="00130AB6" w:rsidRDefault="002C7D32">
          <w:pPr>
            <w:pStyle w:val="Sumrio2"/>
            <w:tabs>
              <w:tab w:val="right" w:pos="9129"/>
            </w:tabs>
          </w:pPr>
          <w:hyperlink w:anchor="_Toc59538">
            <w:r>
              <w:t>3.1 Epidemiol</w:t>
            </w:r>
            <w:r>
              <w:t>ogia</w:t>
            </w:r>
            <w:r>
              <w:tab/>
            </w:r>
            <w:r>
              <w:fldChar w:fldCharType="begin"/>
            </w:r>
            <w:r>
              <w:instrText>PAGEREF _Toc59538 \h</w:instrText>
            </w:r>
            <w:r>
              <w:fldChar w:fldCharType="separate"/>
            </w:r>
            <w:r>
              <w:t xml:space="preserve">9 </w:t>
            </w:r>
            <w:r>
              <w:fldChar w:fldCharType="end"/>
            </w:r>
          </w:hyperlink>
        </w:p>
        <w:p w:rsidR="00130AB6" w:rsidRDefault="002C7D32">
          <w:pPr>
            <w:pStyle w:val="Sumrio2"/>
            <w:tabs>
              <w:tab w:val="right" w:pos="9129"/>
            </w:tabs>
          </w:pPr>
          <w:hyperlink w:anchor="_Toc59539">
            <w:r>
              <w:t>3.2 Classificação e Manifestações Clínicas</w:t>
            </w:r>
            <w:r>
              <w:tab/>
            </w:r>
            <w:r>
              <w:fldChar w:fldCharType="begin"/>
            </w:r>
            <w:r>
              <w:instrText>PAGEREF _Toc59539 \h</w:instrText>
            </w:r>
            <w:r>
              <w:fldChar w:fldCharType="separate"/>
            </w:r>
            <w:r>
              <w:t xml:space="preserve">9 </w:t>
            </w:r>
            <w:r>
              <w:fldChar w:fldCharType="end"/>
            </w:r>
          </w:hyperlink>
        </w:p>
        <w:p w:rsidR="00130AB6" w:rsidRDefault="002C7D32">
          <w:pPr>
            <w:pStyle w:val="Sumrio2"/>
            <w:tabs>
              <w:tab w:val="right" w:pos="9129"/>
            </w:tabs>
          </w:pPr>
          <w:hyperlink w:anchor="_Toc59540">
            <w:r>
              <w:t>3.3 Diagnóstico</w:t>
            </w:r>
            <w:r>
              <w:tab/>
            </w:r>
            <w:r>
              <w:fldChar w:fldCharType="begin"/>
            </w:r>
            <w:r>
              <w:instrText>PAGEREF _Toc59540 \h</w:instrText>
            </w:r>
            <w:r>
              <w:fldChar w:fldCharType="separate"/>
            </w:r>
            <w:r>
              <w:t xml:space="preserve">10 </w:t>
            </w:r>
            <w:r>
              <w:fldChar w:fldCharType="end"/>
            </w:r>
          </w:hyperlink>
        </w:p>
        <w:p w:rsidR="00130AB6" w:rsidRDefault="002C7D32">
          <w:pPr>
            <w:pStyle w:val="Sumrio2"/>
            <w:tabs>
              <w:tab w:val="right" w:pos="9129"/>
            </w:tabs>
          </w:pPr>
          <w:hyperlink w:anchor="_Toc59541">
            <w:r>
              <w:t>3.4 Fisiopatologia</w:t>
            </w:r>
            <w:r>
              <w:tab/>
            </w:r>
            <w:r>
              <w:fldChar w:fldCharType="begin"/>
            </w:r>
            <w:r>
              <w:instrText>PAGEREF _Toc59541 \h</w:instrText>
            </w:r>
            <w:r>
              <w:fldChar w:fldCharType="separate"/>
            </w:r>
            <w:r>
              <w:t xml:space="preserve">11 </w:t>
            </w:r>
            <w:r>
              <w:fldChar w:fldCharType="end"/>
            </w:r>
          </w:hyperlink>
        </w:p>
        <w:p w:rsidR="00130AB6" w:rsidRDefault="002C7D32">
          <w:pPr>
            <w:pStyle w:val="Sumrio1"/>
            <w:tabs>
              <w:tab w:val="right" w:pos="9129"/>
            </w:tabs>
          </w:pPr>
          <w:hyperlink w:anchor="_Toc59542">
            <w:r>
              <w:t>4 MATERIAIS E MÉTODOS</w:t>
            </w:r>
            <w:r>
              <w:tab/>
            </w:r>
            <w:r>
              <w:fldChar w:fldCharType="begin"/>
            </w:r>
            <w:r>
              <w:instrText>PAGEREF _Toc59542 \h</w:instrText>
            </w:r>
            <w:r>
              <w:fldChar w:fldCharType="separate"/>
            </w:r>
            <w:r>
              <w:t xml:space="preserve">13 </w:t>
            </w:r>
            <w:r>
              <w:fldChar w:fldCharType="end"/>
            </w:r>
          </w:hyperlink>
        </w:p>
        <w:p w:rsidR="00130AB6" w:rsidRDefault="002C7D32">
          <w:pPr>
            <w:pStyle w:val="Sumrio2"/>
            <w:tabs>
              <w:tab w:val="right" w:pos="9129"/>
            </w:tabs>
          </w:pPr>
          <w:hyperlink w:anchor="_Toc59543">
            <w:r>
              <w:t>4.1 Desenho de estudo</w:t>
            </w:r>
            <w:r>
              <w:tab/>
            </w:r>
            <w:r>
              <w:fldChar w:fldCharType="begin"/>
            </w:r>
            <w:r>
              <w:instrText>PAGEREF _Toc59543 \h</w:instrText>
            </w:r>
            <w:r>
              <w:fldChar w:fldCharType="separate"/>
            </w:r>
            <w:r>
              <w:t xml:space="preserve">13 </w:t>
            </w:r>
            <w:r>
              <w:fldChar w:fldCharType="end"/>
            </w:r>
          </w:hyperlink>
        </w:p>
        <w:p w:rsidR="00130AB6" w:rsidRDefault="002C7D32">
          <w:pPr>
            <w:pStyle w:val="Sumrio2"/>
            <w:tabs>
              <w:tab w:val="right" w:pos="9129"/>
            </w:tabs>
          </w:pPr>
          <w:hyperlink w:anchor="_Toc59544">
            <w:r>
              <w:t>4.2 População do estudo</w:t>
            </w:r>
            <w:r>
              <w:tab/>
            </w:r>
            <w:r>
              <w:fldChar w:fldCharType="begin"/>
            </w:r>
            <w:r>
              <w:instrText>PAGEREF _Toc59544 \h</w:instrText>
            </w:r>
            <w:r>
              <w:fldChar w:fldCharType="separate"/>
            </w:r>
            <w:r>
              <w:t xml:space="preserve">13 </w:t>
            </w:r>
            <w:r>
              <w:fldChar w:fldCharType="end"/>
            </w:r>
          </w:hyperlink>
        </w:p>
        <w:p w:rsidR="00130AB6" w:rsidRDefault="002C7D32">
          <w:pPr>
            <w:pStyle w:val="Sumrio2"/>
            <w:tabs>
              <w:tab w:val="right" w:pos="9129"/>
            </w:tabs>
          </w:pPr>
          <w:hyperlink w:anchor="_Toc59545">
            <w:r>
              <w:t>4.3 Instrumento de coleta de dados</w:t>
            </w:r>
            <w:r>
              <w:tab/>
            </w:r>
            <w:r>
              <w:fldChar w:fldCharType="begin"/>
            </w:r>
            <w:r>
              <w:instrText>PAGEREF _Toc59545 \h</w:instrText>
            </w:r>
            <w:r>
              <w:fldChar w:fldCharType="separate"/>
            </w:r>
            <w:r>
              <w:t xml:space="preserve">13 </w:t>
            </w:r>
            <w:r>
              <w:fldChar w:fldCharType="end"/>
            </w:r>
          </w:hyperlink>
        </w:p>
        <w:p w:rsidR="00130AB6" w:rsidRDefault="002C7D32">
          <w:pPr>
            <w:pStyle w:val="Sumrio2"/>
            <w:tabs>
              <w:tab w:val="right" w:pos="9129"/>
            </w:tabs>
          </w:pPr>
          <w:hyperlink w:anchor="_Toc59546">
            <w:r>
              <w:t>4.4 Variáveis do estudo</w:t>
            </w:r>
            <w:r>
              <w:tab/>
            </w:r>
            <w:r>
              <w:fldChar w:fldCharType="begin"/>
            </w:r>
            <w:r>
              <w:instrText>PAGEREF _Toc59546 \h</w:instrText>
            </w:r>
            <w:r>
              <w:fldChar w:fldCharType="separate"/>
            </w:r>
            <w:r>
              <w:t xml:space="preserve">14 </w:t>
            </w:r>
            <w:r>
              <w:fldChar w:fldCharType="end"/>
            </w:r>
          </w:hyperlink>
        </w:p>
        <w:p w:rsidR="00130AB6" w:rsidRDefault="002C7D32">
          <w:pPr>
            <w:pStyle w:val="Sumrio2"/>
            <w:tabs>
              <w:tab w:val="right" w:pos="9129"/>
            </w:tabs>
          </w:pPr>
          <w:hyperlink w:anchor="_Toc59547">
            <w:r>
              <w:t>4.5 Aspectos éticos</w:t>
            </w:r>
            <w:r>
              <w:tab/>
            </w:r>
            <w:r>
              <w:fldChar w:fldCharType="begin"/>
            </w:r>
            <w:r>
              <w:instrText>PAGEREF _Toc59547 \h</w:instrText>
            </w:r>
            <w:r>
              <w:fldChar w:fldCharType="separate"/>
            </w:r>
            <w:r>
              <w:t xml:space="preserve">16 </w:t>
            </w:r>
            <w:r>
              <w:fldChar w:fldCharType="end"/>
            </w:r>
          </w:hyperlink>
        </w:p>
        <w:p w:rsidR="00130AB6" w:rsidRDefault="002C7D32">
          <w:pPr>
            <w:pStyle w:val="Sumrio1"/>
            <w:tabs>
              <w:tab w:val="right" w:pos="9129"/>
            </w:tabs>
          </w:pPr>
          <w:hyperlink w:anchor="_Toc59548">
            <w:r>
              <w:t>5  RESULTADOS</w:t>
            </w:r>
            <w:r>
              <w:tab/>
            </w:r>
            <w:r>
              <w:fldChar w:fldCharType="begin"/>
            </w:r>
            <w:r>
              <w:instrText>PAGEREF _</w:instrText>
            </w:r>
            <w:r>
              <w:instrText>Toc59548 \h</w:instrText>
            </w:r>
            <w:r>
              <w:fldChar w:fldCharType="separate"/>
            </w:r>
            <w:r>
              <w:t xml:space="preserve">17 </w:t>
            </w:r>
            <w:r>
              <w:fldChar w:fldCharType="end"/>
            </w:r>
          </w:hyperlink>
        </w:p>
        <w:p w:rsidR="00130AB6" w:rsidRDefault="002C7D32">
          <w:pPr>
            <w:pStyle w:val="Sumrio2"/>
            <w:tabs>
              <w:tab w:val="right" w:pos="9129"/>
            </w:tabs>
          </w:pPr>
          <w:hyperlink w:anchor="_Toc59549">
            <w:r>
              <w:t>5.1 Perfil sociodemográfico</w:t>
            </w:r>
            <w:r>
              <w:tab/>
            </w:r>
            <w:r>
              <w:fldChar w:fldCharType="begin"/>
            </w:r>
            <w:r>
              <w:instrText>PAGEREF _Toc59549 \h</w:instrText>
            </w:r>
            <w:r>
              <w:fldChar w:fldCharType="separate"/>
            </w:r>
            <w:r>
              <w:t xml:space="preserve">17 </w:t>
            </w:r>
            <w:r>
              <w:fldChar w:fldCharType="end"/>
            </w:r>
          </w:hyperlink>
        </w:p>
        <w:p w:rsidR="00130AB6" w:rsidRDefault="002C7D32">
          <w:pPr>
            <w:pStyle w:val="Sumrio2"/>
            <w:tabs>
              <w:tab w:val="right" w:pos="9129"/>
            </w:tabs>
          </w:pPr>
          <w:hyperlink w:anchor="_Toc59550">
            <w:r>
              <w:t>5.2 Perfil econômico</w:t>
            </w:r>
            <w:r>
              <w:tab/>
            </w:r>
            <w:r>
              <w:fldChar w:fldCharType="begin"/>
            </w:r>
            <w:r>
              <w:instrText>PAGEREF _Toc59550 \h</w:instrText>
            </w:r>
            <w:r>
              <w:fldChar w:fldCharType="separate"/>
            </w:r>
            <w:r>
              <w:t xml:space="preserve">18 </w:t>
            </w:r>
            <w:r>
              <w:fldChar w:fldCharType="end"/>
            </w:r>
          </w:hyperlink>
        </w:p>
        <w:p w:rsidR="00130AB6" w:rsidRDefault="002C7D32">
          <w:pPr>
            <w:pStyle w:val="Sumrio2"/>
            <w:tabs>
              <w:tab w:val="right" w:pos="9129"/>
            </w:tabs>
          </w:pPr>
          <w:hyperlink w:anchor="_Toc59551">
            <w:r>
              <w:t>5.3 Hereditariedade</w:t>
            </w:r>
            <w:r>
              <w:tab/>
            </w:r>
            <w:r>
              <w:fldChar w:fldCharType="begin"/>
            </w:r>
            <w:r>
              <w:instrText>PAG</w:instrText>
            </w:r>
            <w:r>
              <w:instrText>EREF _Toc59551 \h</w:instrText>
            </w:r>
            <w:r>
              <w:fldChar w:fldCharType="separate"/>
            </w:r>
            <w:r>
              <w:t xml:space="preserve">19 </w:t>
            </w:r>
            <w:r>
              <w:fldChar w:fldCharType="end"/>
            </w:r>
          </w:hyperlink>
        </w:p>
        <w:p w:rsidR="00130AB6" w:rsidRDefault="002C7D32">
          <w:pPr>
            <w:pStyle w:val="Sumrio2"/>
            <w:tabs>
              <w:tab w:val="right" w:pos="9129"/>
            </w:tabs>
          </w:pPr>
          <w:hyperlink w:anchor="_Toc59552">
            <w:r>
              <w:t>5.4 Perfil clínico</w:t>
            </w:r>
            <w:r>
              <w:tab/>
            </w:r>
            <w:r>
              <w:fldChar w:fldCharType="begin"/>
            </w:r>
            <w:r>
              <w:instrText>PAGEREF _Toc59552 \h</w:instrText>
            </w:r>
            <w:r>
              <w:fldChar w:fldCharType="separate"/>
            </w:r>
            <w:r>
              <w:t xml:space="preserve">20 </w:t>
            </w:r>
            <w:r>
              <w:fldChar w:fldCharType="end"/>
            </w:r>
          </w:hyperlink>
        </w:p>
        <w:p w:rsidR="00130AB6" w:rsidRDefault="002C7D32">
          <w:pPr>
            <w:pStyle w:val="Sumrio2"/>
            <w:tabs>
              <w:tab w:val="right" w:pos="9129"/>
            </w:tabs>
          </w:pPr>
          <w:hyperlink w:anchor="_Toc59553">
            <w:r>
              <w:t>5</w:t>
            </w:r>
            <w:r>
              <w:t>.5 Qualidade de vida</w:t>
            </w:r>
            <w:r>
              <w:tab/>
            </w:r>
            <w:r>
              <w:fldChar w:fldCharType="begin"/>
            </w:r>
            <w:r>
              <w:instrText>PAGEREF _Toc59553 \h</w:instrText>
            </w:r>
            <w:r>
              <w:fldChar w:fldCharType="separate"/>
            </w:r>
            <w:r>
              <w:t xml:space="preserve">24 </w:t>
            </w:r>
            <w:r>
              <w:fldChar w:fldCharType="end"/>
            </w:r>
          </w:hyperlink>
        </w:p>
        <w:p w:rsidR="00130AB6" w:rsidRDefault="002C7D32">
          <w:pPr>
            <w:pStyle w:val="Sumrio1"/>
            <w:tabs>
              <w:tab w:val="right" w:pos="9129"/>
            </w:tabs>
          </w:pPr>
          <w:hyperlink w:anchor="_Toc59554">
            <w:r>
              <w:t>6  DISCUSSÃO</w:t>
            </w:r>
            <w:r>
              <w:tab/>
            </w:r>
            <w:r>
              <w:fldChar w:fldCharType="begin"/>
            </w:r>
            <w:r>
              <w:instrText>PAGEREF _Toc59554 \h</w:instrText>
            </w:r>
            <w:r>
              <w:fldChar w:fldCharType="separate"/>
            </w:r>
            <w:r>
              <w:t xml:space="preserve">25 </w:t>
            </w:r>
            <w:r>
              <w:fldChar w:fldCharType="end"/>
            </w:r>
          </w:hyperlink>
        </w:p>
        <w:p w:rsidR="00130AB6" w:rsidRDefault="002C7D32">
          <w:pPr>
            <w:pStyle w:val="Sumrio1"/>
            <w:tabs>
              <w:tab w:val="right" w:pos="9129"/>
            </w:tabs>
          </w:pPr>
          <w:hyperlink w:anchor="_Toc59555">
            <w:r>
              <w:t>7  CONCLUSÃO</w:t>
            </w:r>
            <w:r>
              <w:tab/>
            </w:r>
            <w:r>
              <w:fldChar w:fldCharType="begin"/>
            </w:r>
            <w:r>
              <w:instrText>PAGEREF _Toc59555 \h</w:instrText>
            </w:r>
            <w:r>
              <w:fldChar w:fldCharType="separate"/>
            </w:r>
            <w:r>
              <w:t xml:space="preserve">29 </w:t>
            </w:r>
            <w:r>
              <w:fldChar w:fldCharType="end"/>
            </w:r>
          </w:hyperlink>
        </w:p>
        <w:p w:rsidR="00130AB6" w:rsidRDefault="002C7D32">
          <w:pPr>
            <w:pStyle w:val="Sumrio1"/>
            <w:tabs>
              <w:tab w:val="right" w:pos="9129"/>
            </w:tabs>
          </w:pPr>
          <w:hyperlink w:anchor="_Toc59556">
            <w:r>
              <w:t>8  CRONOGRAMA</w:t>
            </w:r>
            <w:r>
              <w:tab/>
            </w:r>
            <w:r>
              <w:fldChar w:fldCharType="begin"/>
            </w:r>
            <w:r>
              <w:instrText>PAGEREF _Toc59556 \h</w:instrText>
            </w:r>
            <w:r>
              <w:fldChar w:fldCharType="separate"/>
            </w:r>
            <w:r>
              <w:t xml:space="preserve">30 </w:t>
            </w:r>
            <w:r>
              <w:fldChar w:fldCharType="end"/>
            </w:r>
          </w:hyperlink>
        </w:p>
        <w:p w:rsidR="00130AB6" w:rsidRDefault="002C7D32">
          <w:pPr>
            <w:pStyle w:val="Sumrio1"/>
            <w:tabs>
              <w:tab w:val="right" w:pos="9129"/>
            </w:tabs>
          </w:pPr>
          <w:hyperlink w:anchor="_Toc59557">
            <w:r>
              <w:t>9  ORÇAMENTO</w:t>
            </w:r>
            <w:r>
              <w:tab/>
            </w:r>
            <w:r>
              <w:fldChar w:fldCharType="begin"/>
            </w:r>
            <w:r>
              <w:instrText>PAGEREF _Toc59557 \h</w:instrText>
            </w:r>
            <w:r>
              <w:fldChar w:fldCharType="separate"/>
            </w:r>
            <w:r>
              <w:t xml:space="preserve">31 </w:t>
            </w:r>
            <w:r>
              <w:fldChar w:fldCharType="end"/>
            </w:r>
          </w:hyperlink>
        </w:p>
        <w:p w:rsidR="00130AB6" w:rsidRDefault="002C7D32">
          <w:pPr>
            <w:pStyle w:val="Sumrio1"/>
            <w:tabs>
              <w:tab w:val="right" w:pos="9129"/>
            </w:tabs>
          </w:pPr>
          <w:hyperlink w:anchor="_Toc59558">
            <w:r>
              <w:t>REFERÊNCIAS</w:t>
            </w:r>
            <w:r>
              <w:tab/>
            </w:r>
            <w:r>
              <w:fldChar w:fldCharType="begin"/>
            </w:r>
            <w:r>
              <w:instrText>PAGEREF _Toc59558 \h</w:instrText>
            </w:r>
            <w:r>
              <w:fldChar w:fldCharType="separate"/>
            </w:r>
            <w:r>
              <w:t xml:space="preserve">32 </w:t>
            </w:r>
            <w:r>
              <w:fldChar w:fldCharType="end"/>
            </w:r>
          </w:hyperlink>
        </w:p>
        <w:p w:rsidR="00130AB6" w:rsidRDefault="002C7D32">
          <w:pPr>
            <w:pStyle w:val="Sumrio1"/>
            <w:tabs>
              <w:tab w:val="right" w:pos="9129"/>
            </w:tabs>
          </w:pPr>
          <w:hyperlink w:anchor="_Toc59559">
            <w:r>
              <w:t>APÊNDICE A - Termo de Consentimento Livre e Esclarecido</w:t>
            </w:r>
            <w:r>
              <w:tab/>
            </w:r>
            <w:r>
              <w:fldChar w:fldCharType="begin"/>
            </w:r>
            <w:r>
              <w:instrText>PAGEREF _Toc59559 \h</w:instrText>
            </w:r>
            <w:r>
              <w:fldChar w:fldCharType="separate"/>
            </w:r>
            <w:r>
              <w:t xml:space="preserve">35 </w:t>
            </w:r>
            <w:r>
              <w:fldChar w:fldCharType="end"/>
            </w:r>
          </w:hyperlink>
        </w:p>
        <w:p w:rsidR="00130AB6" w:rsidRDefault="002C7D32">
          <w:pPr>
            <w:pStyle w:val="Sumrio1"/>
            <w:tabs>
              <w:tab w:val="right" w:pos="9129"/>
            </w:tabs>
          </w:pPr>
          <w:hyperlink w:anchor="_Toc59560">
            <w:r>
              <w:t>APÊNDICE B - Instrumento de coleta de dad</w:t>
            </w:r>
            <w:r>
              <w:t>os</w:t>
            </w:r>
            <w:r>
              <w:tab/>
            </w:r>
            <w:r>
              <w:fldChar w:fldCharType="begin"/>
            </w:r>
            <w:r>
              <w:instrText>PAGEREF _Toc59560 \h</w:instrText>
            </w:r>
            <w:r>
              <w:fldChar w:fldCharType="separate"/>
            </w:r>
            <w:r>
              <w:t xml:space="preserve">36 </w:t>
            </w:r>
            <w:r>
              <w:fldChar w:fldCharType="end"/>
            </w:r>
          </w:hyperlink>
        </w:p>
        <w:p w:rsidR="00130AB6" w:rsidRDefault="002C7D32">
          <w:pPr>
            <w:pStyle w:val="Sumrio1"/>
            <w:tabs>
              <w:tab w:val="right" w:pos="9129"/>
            </w:tabs>
          </w:pPr>
          <w:hyperlink w:anchor="_Toc59561">
            <w:r>
              <w:t>ANEXO A - Parecer consubstanciado do Comitê de Ética e Pesquisa</w:t>
            </w:r>
            <w:r>
              <w:tab/>
            </w:r>
            <w:r>
              <w:fldChar w:fldCharType="begin"/>
            </w:r>
            <w:r>
              <w:instrText>PAGEREF _Toc59561 \h</w:instrText>
            </w:r>
            <w:r>
              <w:fldChar w:fldCharType="separate"/>
            </w:r>
            <w:r>
              <w:t xml:space="preserve">38 </w:t>
            </w:r>
            <w:r>
              <w:fldChar w:fldCharType="end"/>
            </w:r>
          </w:hyperlink>
        </w:p>
        <w:p w:rsidR="00130AB6" w:rsidRDefault="002C7D32">
          <w:r>
            <w:fldChar w:fldCharType="end"/>
          </w:r>
        </w:p>
      </w:sdtContent>
    </w:sdt>
    <w:p w:rsidR="00130AB6" w:rsidRDefault="002C7D32">
      <w:pPr>
        <w:spacing w:after="0" w:line="259" w:lineRule="auto"/>
        <w:ind w:left="0" w:right="0" w:firstLine="0"/>
        <w:jc w:val="left"/>
      </w:pPr>
      <w:r>
        <w:rPr>
          <w:b/>
        </w:rPr>
        <w:t xml:space="preserve"> </w:t>
      </w:r>
    </w:p>
    <w:p w:rsidR="00130AB6" w:rsidRDefault="00130AB6">
      <w:pPr>
        <w:sectPr w:rsidR="00130AB6">
          <w:headerReference w:type="even" r:id="rId8"/>
          <w:headerReference w:type="default" r:id="rId9"/>
          <w:headerReference w:type="first" r:id="rId10"/>
          <w:pgSz w:w="11906" w:h="16838"/>
          <w:pgMar w:top="715" w:right="1075" w:bottom="1289" w:left="1702" w:header="720" w:footer="720" w:gutter="0"/>
          <w:cols w:space="720"/>
          <w:titlePg/>
        </w:sectPr>
      </w:pPr>
    </w:p>
    <w:p w:rsidR="00130AB6" w:rsidRDefault="002C7D32">
      <w:pPr>
        <w:pStyle w:val="Ttulo1"/>
        <w:spacing w:after="0"/>
        <w:ind w:left="720" w:right="0" w:hanging="360"/>
      </w:pPr>
      <w:bookmarkStart w:id="1" w:name="_Toc59533"/>
      <w:r>
        <w:lastRenderedPageBreak/>
        <w:t xml:space="preserve">INTRODUÇÃO </w:t>
      </w:r>
      <w:bookmarkEnd w:id="1"/>
    </w:p>
    <w:p w:rsidR="00130AB6" w:rsidRDefault="002C7D32">
      <w:pPr>
        <w:spacing w:after="235" w:line="259" w:lineRule="auto"/>
        <w:ind w:left="0" w:right="0" w:firstLine="0"/>
        <w:jc w:val="left"/>
      </w:pPr>
      <w:r>
        <w:rPr>
          <w:rFonts w:ascii="Calibri" w:eastAsia="Calibri" w:hAnsi="Calibri" w:cs="Calibri"/>
          <w:sz w:val="22"/>
        </w:rPr>
        <w:t xml:space="preserve"> </w:t>
      </w:r>
    </w:p>
    <w:p w:rsidR="00130AB6" w:rsidRDefault="002C7D32">
      <w:pPr>
        <w:ind w:left="-5" w:right="167"/>
      </w:pPr>
      <w:r>
        <w:t xml:space="preserve">A doença celíaca é um distúrbio autoimune genético caracterizado por uma intolerância permanente ao </w:t>
      </w:r>
      <w:r>
        <w:t>glúten, fração proteica presente no trigo, centeio, aveia, cevada e seus derivados</w:t>
      </w:r>
      <w:r>
        <w:rPr>
          <w:vertAlign w:val="superscript"/>
        </w:rPr>
        <w:t>1</w:t>
      </w:r>
      <w:r>
        <w:t>. Esta pode resultar na inflamação crônica da mucosa do intestino delgado com atrofia das vilosidades e, consequentemente, má absorção intestinal. As formas clínicas da doen</w:t>
      </w:r>
      <w:r>
        <w:t>ça vêm se modificando e, cada vez mais, são latentes ou assintomáticas. Porém, dentre as manifestações mais comuns, há predominância de sintomas associados ao trato digestivo, como diarreia crônica, perda de peso, dor abdominal, distensão abdominal e const</w:t>
      </w:r>
      <w:r>
        <w:t>ipação intestinal</w:t>
      </w:r>
      <w:r>
        <w:rPr>
          <w:vertAlign w:val="superscript"/>
        </w:rPr>
        <w:t>2</w:t>
      </w:r>
      <w:r>
        <w:t xml:space="preserve">. Ainda, pode envolver outros sistemas, como pele, fígado, sistema nervoso, sistema reprodutivo, ossos e sistema endócrino.  </w:t>
      </w:r>
    </w:p>
    <w:p w:rsidR="00130AB6" w:rsidRDefault="002C7D32">
      <w:pPr>
        <w:ind w:left="-5" w:right="167"/>
      </w:pPr>
      <w:r>
        <w:t>Trata-se de uma condição cosmopolita, que afeta pessoas de todas as classes sociais. Dados revelam que o problem</w:t>
      </w:r>
      <w:r>
        <w:t xml:space="preserve">a atinge pessoas de todas as idades, mas compromete principalmente crianças de seis meses a cinco anos². </w:t>
      </w:r>
      <w:r>
        <w:rPr>
          <w:color w:val="33434C"/>
        </w:rPr>
        <w:t xml:space="preserve"> </w:t>
      </w:r>
    </w:p>
    <w:p w:rsidR="00130AB6" w:rsidRDefault="002C7D32">
      <w:pPr>
        <w:ind w:left="-5" w:right="167"/>
      </w:pPr>
      <w:r>
        <w:t xml:space="preserve">Atualmente, o diagnóstico da doença celíaca tem como base o exame clínico, associado a pesquisa de marcadores sorológicos – sendo os mais comuns: </w:t>
      </w:r>
      <w:proofErr w:type="spellStart"/>
      <w:r>
        <w:t>ant</w:t>
      </w:r>
      <w:r>
        <w:t>iendomísio</w:t>
      </w:r>
      <w:proofErr w:type="spellEnd"/>
      <w:r>
        <w:t xml:space="preserve"> (</w:t>
      </w:r>
      <w:proofErr w:type="spellStart"/>
      <w:r>
        <w:t>anti-EMA</w:t>
      </w:r>
      <w:proofErr w:type="spellEnd"/>
      <w:r>
        <w:t xml:space="preserve">) e </w:t>
      </w:r>
      <w:proofErr w:type="spellStart"/>
      <w:r>
        <w:t>anti-transglutaminase</w:t>
      </w:r>
      <w:proofErr w:type="spellEnd"/>
      <w:r>
        <w:t xml:space="preserve"> tecidual (</w:t>
      </w:r>
      <w:proofErr w:type="spellStart"/>
      <w:r>
        <w:t>anti-tTG</w:t>
      </w:r>
      <w:proofErr w:type="spellEnd"/>
      <w:r>
        <w:t>) - e a endoscopia digestiva alta, feita através da análise histopatológica da mucosa do intestino delgado, obtida de preferência na junção duodeno-jejunal</w:t>
      </w:r>
      <w:r>
        <w:rPr>
          <w:vertAlign w:val="superscript"/>
        </w:rPr>
        <w:t>3</w:t>
      </w:r>
      <w:r>
        <w:t xml:space="preserve">. Vale ressaltar que a investigação </w:t>
      </w:r>
      <w:r>
        <w:t>diagnóstica deve ser realizada antes da introdução do tratamento que é a dieta isenta de glúten, pois a dieta pode alterar negativamente os resultados dos testes sorológicos e melhorar a histologia</w:t>
      </w:r>
      <w:r>
        <w:rPr>
          <w:vertAlign w:val="superscript"/>
        </w:rPr>
        <w:t>4</w:t>
      </w:r>
      <w:r>
        <w:t>. Diante de todos esses fatores, é perceptível que o diagn</w:t>
      </w:r>
      <w:r>
        <w:t xml:space="preserve">óstico da doença celíaca nem sempre é fácil de ser realizado, sendo possível encontrar achados discordantes entre sorologia, clínica e histologia. </w:t>
      </w:r>
    </w:p>
    <w:p w:rsidR="00130AB6" w:rsidRDefault="002C7D32">
      <w:pPr>
        <w:ind w:left="-5" w:right="167"/>
      </w:pPr>
      <w:r>
        <w:t>Apesar da alta prevalência da doença no Brasil e no mundo, a maioria dos portadores ainda não possuem o diag</w:t>
      </w:r>
      <w:r>
        <w:t xml:space="preserve">nóstico. Diversos fatores contribuem para esse </w:t>
      </w:r>
      <w:proofErr w:type="spellStart"/>
      <w:r>
        <w:t>subdiagnóstico</w:t>
      </w:r>
      <w:proofErr w:type="spellEnd"/>
      <w:r>
        <w:t>, porém, nos últimos anos, tem-se verificado uma melhoria significativa no diagnóstico da doença, não só pela compreensão e descoberta de uma variedade de manifestações associadas a esta patologi</w:t>
      </w:r>
      <w:r>
        <w:t>a, mas também pelo desenvolvimento de testes mais específicos e sensíveis</w:t>
      </w:r>
      <w:r>
        <w:rPr>
          <w:vertAlign w:val="superscript"/>
        </w:rPr>
        <w:t>6</w:t>
      </w:r>
      <w:r>
        <w:t xml:space="preserve">. </w:t>
      </w:r>
    </w:p>
    <w:p w:rsidR="00130AB6" w:rsidRDefault="002C7D32">
      <w:pPr>
        <w:ind w:left="-5" w:right="167"/>
      </w:pPr>
      <w:r>
        <w:lastRenderedPageBreak/>
        <w:t>Doença celíaca não tratada tem alta morbimortalidade e potencial para gerar consequências irreversíveis na saúde do portador. Anemia, infertilidade, osteoporose, e câncer, princip</w:t>
      </w:r>
      <w:r>
        <w:t>almente linfoma intestinal, estão entre os riscos de complicação em pacientes sem tratamento</w:t>
      </w:r>
      <w:r>
        <w:rPr>
          <w:vertAlign w:val="superscript"/>
        </w:rPr>
        <w:t>7</w:t>
      </w:r>
      <w:r>
        <w:t>. Portanto, revela-se a necessidade de se ampliar a discussão teórica em torno desta doença, de modo a promover a divulgação de pesquisas a ela relacionadas e a ap</w:t>
      </w:r>
      <w:r>
        <w:t xml:space="preserve">roximação dos pesquisadores com as reais necessidades dos celíacos. Assim, garantir a segurança alimentar e sustentável desta população, o que torna o estudo de alta relevância para a comunidade tanto social quanto científica.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7" w:line="259" w:lineRule="auto"/>
        <w:ind w:left="0" w:right="0" w:firstLine="0"/>
        <w:jc w:val="left"/>
      </w:pPr>
      <w:r>
        <w:t xml:space="preserve"> </w:t>
      </w:r>
    </w:p>
    <w:p w:rsidR="00130AB6" w:rsidRDefault="002C7D32">
      <w:pPr>
        <w:spacing w:after="314"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5"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55" w:line="259" w:lineRule="auto"/>
        <w:ind w:left="0" w:right="0" w:firstLine="0"/>
        <w:jc w:val="left"/>
      </w:pPr>
      <w:r>
        <w:t xml:space="preserve"> </w:t>
      </w:r>
    </w:p>
    <w:p w:rsidR="00130AB6" w:rsidRDefault="002C7D32">
      <w:pPr>
        <w:spacing w:after="0" w:line="259" w:lineRule="auto"/>
        <w:ind w:left="0" w:right="0" w:firstLine="0"/>
        <w:jc w:val="left"/>
      </w:pPr>
      <w:r>
        <w:rPr>
          <w:b/>
          <w:sz w:val="28"/>
        </w:rPr>
        <w:t xml:space="preserve"> </w:t>
      </w:r>
    </w:p>
    <w:p w:rsidR="00130AB6" w:rsidRDefault="002C7D32">
      <w:pPr>
        <w:pStyle w:val="Ttulo1"/>
        <w:spacing w:after="0"/>
        <w:ind w:left="720" w:right="0" w:hanging="360"/>
      </w:pPr>
      <w:bookmarkStart w:id="2" w:name="_Toc59534"/>
      <w:r>
        <w:t xml:space="preserve">OBJETIVOS </w:t>
      </w:r>
      <w:bookmarkEnd w:id="2"/>
    </w:p>
    <w:p w:rsidR="00130AB6" w:rsidRDefault="002C7D32">
      <w:pPr>
        <w:spacing w:after="369" w:line="259" w:lineRule="auto"/>
        <w:ind w:left="0" w:right="0" w:firstLine="0"/>
        <w:jc w:val="left"/>
      </w:pPr>
      <w:r>
        <w:rPr>
          <w:rFonts w:ascii="Calibri" w:eastAsia="Calibri" w:hAnsi="Calibri" w:cs="Calibri"/>
          <w:b/>
          <w:sz w:val="22"/>
        </w:rPr>
        <w:t xml:space="preserve"> </w:t>
      </w:r>
    </w:p>
    <w:p w:rsidR="00130AB6" w:rsidRDefault="002C7D32">
      <w:pPr>
        <w:pStyle w:val="Ttulo2"/>
        <w:ind w:left="387" w:right="0" w:hanging="402"/>
      </w:pPr>
      <w:bookmarkStart w:id="3" w:name="_Toc59535"/>
      <w:r>
        <w:lastRenderedPageBreak/>
        <w:t xml:space="preserve">Objetivo Geral </w:t>
      </w:r>
      <w:bookmarkEnd w:id="3"/>
    </w:p>
    <w:p w:rsidR="00130AB6" w:rsidRDefault="002C7D32">
      <w:pPr>
        <w:ind w:left="-5" w:right="167"/>
      </w:pPr>
      <w:r>
        <w:t xml:space="preserve">Descrever o perfil clínico-epidemiológico dos indivíduos membros da ACELBRA-BA, portadores da Doença Celíaca. </w:t>
      </w:r>
    </w:p>
    <w:p w:rsidR="00130AB6" w:rsidRDefault="002C7D32">
      <w:pPr>
        <w:spacing w:after="355" w:line="259" w:lineRule="auto"/>
        <w:ind w:left="0" w:right="0" w:firstLine="0"/>
        <w:jc w:val="left"/>
      </w:pPr>
      <w:r>
        <w:t xml:space="preserve"> </w:t>
      </w:r>
    </w:p>
    <w:p w:rsidR="00130AB6" w:rsidRDefault="002C7D32">
      <w:pPr>
        <w:pStyle w:val="Ttulo2"/>
        <w:ind w:left="387" w:right="0" w:hanging="402"/>
      </w:pPr>
      <w:bookmarkStart w:id="4" w:name="_Toc59536"/>
      <w:r>
        <w:t xml:space="preserve">Objetivos Específicos </w:t>
      </w:r>
      <w:bookmarkEnd w:id="4"/>
    </w:p>
    <w:p w:rsidR="00130AB6" w:rsidRDefault="002C7D32">
      <w:pPr>
        <w:ind w:left="-5" w:right="167"/>
      </w:pPr>
      <w:r>
        <w:t xml:space="preserve">2.2.1 Descrever o perfil socioeconômico dos pacientes portadores de Doença Celíaca, </w:t>
      </w:r>
      <w:r>
        <w:t xml:space="preserve">analisando como esses dados implicam no diagnóstico. </w:t>
      </w:r>
    </w:p>
    <w:p w:rsidR="00130AB6" w:rsidRDefault="002C7D32">
      <w:pPr>
        <w:ind w:left="-5" w:right="167"/>
      </w:pPr>
      <w:r>
        <w:t xml:space="preserve">2.2.2 Evidenciar as variadas manifestações da Doença Celíaca e como estas podem atrasar o diagnóstico. </w:t>
      </w:r>
    </w:p>
    <w:p w:rsidR="00130AB6" w:rsidRDefault="002C7D32">
      <w:pPr>
        <w:spacing w:after="2" w:line="450" w:lineRule="auto"/>
        <w:ind w:left="0" w:right="9182" w:firstLine="0"/>
        <w:jc w:val="left"/>
      </w:pPr>
      <w:r>
        <w:t xml:space="preserve">   </w:t>
      </w:r>
    </w:p>
    <w:p w:rsidR="00130AB6" w:rsidRDefault="002C7D32">
      <w:pPr>
        <w:spacing w:after="2" w:line="450" w:lineRule="auto"/>
        <w:ind w:left="0" w:right="9182" w:firstLine="0"/>
        <w:jc w:val="left"/>
      </w:pPr>
      <w:r>
        <w:t xml:space="preserve">       </w:t>
      </w:r>
    </w:p>
    <w:p w:rsidR="00130AB6" w:rsidRDefault="002C7D32">
      <w:pPr>
        <w:spacing w:after="0" w:line="450" w:lineRule="auto"/>
        <w:ind w:left="0" w:right="9182" w:firstLine="0"/>
        <w:jc w:val="left"/>
      </w:pPr>
      <w:r>
        <w:t xml:space="preserve">      </w:t>
      </w:r>
    </w:p>
    <w:p w:rsidR="00130AB6" w:rsidRDefault="002C7D32">
      <w:pPr>
        <w:pStyle w:val="Ttulo1"/>
        <w:spacing w:after="0"/>
        <w:ind w:left="720" w:right="0" w:hanging="360"/>
      </w:pPr>
      <w:bookmarkStart w:id="5" w:name="_Toc59537"/>
      <w:r>
        <w:t xml:space="preserve">REVISÃO DE LITERATURA </w:t>
      </w:r>
      <w:bookmarkEnd w:id="5"/>
    </w:p>
    <w:p w:rsidR="00130AB6" w:rsidRDefault="002C7D32">
      <w:pPr>
        <w:spacing w:after="275" w:line="259" w:lineRule="auto"/>
        <w:ind w:left="0" w:right="0" w:firstLine="0"/>
        <w:jc w:val="left"/>
      </w:pPr>
      <w:r>
        <w:rPr>
          <w:rFonts w:ascii="Calibri" w:eastAsia="Calibri" w:hAnsi="Calibri" w:cs="Calibri"/>
          <w:sz w:val="22"/>
        </w:rPr>
        <w:t xml:space="preserve"> </w:t>
      </w:r>
    </w:p>
    <w:p w:rsidR="00130AB6" w:rsidRDefault="002C7D32">
      <w:pPr>
        <w:pStyle w:val="Ttulo2"/>
        <w:spacing w:after="115" w:line="259" w:lineRule="auto"/>
        <w:ind w:left="387" w:right="167" w:hanging="402"/>
        <w:jc w:val="both"/>
      </w:pPr>
      <w:bookmarkStart w:id="6" w:name="_Toc59538"/>
      <w:r>
        <w:rPr>
          <w:b w:val="0"/>
        </w:rPr>
        <w:t xml:space="preserve">Epidemiologia  </w:t>
      </w:r>
      <w:bookmarkEnd w:id="6"/>
    </w:p>
    <w:p w:rsidR="00130AB6" w:rsidRDefault="002C7D32">
      <w:pPr>
        <w:ind w:left="-5" w:right="167"/>
      </w:pPr>
      <w:r>
        <w:t xml:space="preserve">Há pouco tempo, a </w:t>
      </w:r>
      <w:r>
        <w:t>doença celíaca era considerada uma condição relativamente rara, encontrando-se dados epidemiológicos que referiam uma prevalência de 1/1000. No entanto, os estudos mais recentes evidenciaram dados claramente superiores e estima-se que esse aumento da preva</w:t>
      </w:r>
      <w:r>
        <w:t>lência pode ser explicado pela ampla variabilidade clínica da doença, bem como o desenvolvimento de métodos imunológicos mais sensíveis para identificação dos anticorpos de diagnóstico</w:t>
      </w:r>
      <w:r>
        <w:rPr>
          <w:vertAlign w:val="superscript"/>
        </w:rPr>
        <w:t>8</w:t>
      </w:r>
      <w:r>
        <w:t xml:space="preserve">. </w:t>
      </w:r>
    </w:p>
    <w:p w:rsidR="00130AB6" w:rsidRDefault="002C7D32">
      <w:pPr>
        <w:spacing w:after="225"/>
        <w:ind w:left="-5" w:right="167"/>
      </w:pPr>
      <w:r>
        <w:t xml:space="preserve">A incidência da doença celíaca no Brasil atinge uma frequência de 1 </w:t>
      </w:r>
      <w:r>
        <w:t>para cada 681 pessoas e demonstra que é relativamente comum em nosso país</w:t>
      </w:r>
      <w:r>
        <w:rPr>
          <w:vertAlign w:val="superscript"/>
        </w:rPr>
        <w:t>9</w:t>
      </w:r>
      <w:r>
        <w:t xml:space="preserve">. Trata-se de uma </w:t>
      </w:r>
      <w:proofErr w:type="spellStart"/>
      <w:r>
        <w:t>enteropatia</w:t>
      </w:r>
      <w:proofErr w:type="spellEnd"/>
      <w:r>
        <w:t xml:space="preserve"> que pode ocorrer em qualquer idade, porém, surge particularmente nas crianças, entre o 1º e o 5º ano de vida. No adulto, o pico de incidência verifica-s</w:t>
      </w:r>
      <w:r>
        <w:t>e entre a 4ª e 5ª décadas no sexo feminino e na 5ª e 6ª décadas no sexo masculino. Além disso, a incidência de doença celíaca é ligeiramente maior no sexo feminino e uma das explicações apontadas para esta diferença reside no fato das mulheres, no geral, p</w:t>
      </w:r>
      <w:r>
        <w:t>rocurarem mais os serviços de saúde atrás de diagnóstico</w:t>
      </w:r>
      <w:r>
        <w:rPr>
          <w:vertAlign w:val="superscript"/>
        </w:rPr>
        <w:t>10</w:t>
      </w:r>
      <w:r>
        <w:t xml:space="preserve">. </w:t>
      </w:r>
    </w:p>
    <w:p w:rsidR="00130AB6" w:rsidRDefault="002C7D32">
      <w:pPr>
        <w:spacing w:after="355" w:line="259" w:lineRule="auto"/>
        <w:ind w:left="0" w:right="0" w:firstLine="0"/>
        <w:jc w:val="left"/>
      </w:pPr>
      <w:r>
        <w:t xml:space="preserve"> </w:t>
      </w:r>
    </w:p>
    <w:p w:rsidR="00130AB6" w:rsidRDefault="002C7D32">
      <w:pPr>
        <w:pStyle w:val="Ttulo2"/>
        <w:spacing w:after="117" w:line="259" w:lineRule="auto"/>
        <w:ind w:left="387" w:right="167" w:hanging="402"/>
        <w:jc w:val="both"/>
      </w:pPr>
      <w:bookmarkStart w:id="7" w:name="_Toc59539"/>
      <w:proofErr w:type="gramStart"/>
      <w:r>
        <w:rPr>
          <w:b w:val="0"/>
        </w:rPr>
        <w:lastRenderedPageBreak/>
        <w:t>Classificação e Manifestações Clínicas</w:t>
      </w:r>
      <w:proofErr w:type="gramEnd"/>
      <w:r>
        <w:rPr>
          <w:b w:val="0"/>
        </w:rPr>
        <w:t xml:space="preserve">  </w:t>
      </w:r>
      <w:bookmarkEnd w:id="7"/>
    </w:p>
    <w:p w:rsidR="00130AB6" w:rsidRDefault="002C7D32">
      <w:pPr>
        <w:spacing w:after="223"/>
        <w:ind w:left="-5" w:right="167"/>
      </w:pPr>
      <w:r>
        <w:t>A doença celíaca apresenta quatro padrões de apresentação clínica: Clássica, não clássica, assintomática e latente</w:t>
      </w:r>
      <w:r>
        <w:rPr>
          <w:vertAlign w:val="superscript"/>
        </w:rPr>
        <w:t>11</w:t>
      </w:r>
      <w:r>
        <w:t>. As suas manifestações surgem habit</w:t>
      </w:r>
      <w:r>
        <w:t>ualmente na infância, podendo ou não acometer na adolescência, vindo a reaparecer mais tarde após os 40 anos</w:t>
      </w:r>
      <w:r>
        <w:rPr>
          <w:vertAlign w:val="superscript"/>
        </w:rPr>
        <w:t>7</w:t>
      </w:r>
      <w:r>
        <w:t>. Na forma clássica, os sintomas são gastrointestinais e tendem a começar entre 6 e 24 meses de idade, após a introdução do glúten na dieta. Tipica</w:t>
      </w:r>
      <w:r>
        <w:t>mente, as crianças apresentam diarreia crônica, distensão abdominal, hipotrofia muscular e irritabilidade, podendo evoluir para desnutrição</w:t>
      </w:r>
      <w:r>
        <w:rPr>
          <w:vertAlign w:val="superscript"/>
        </w:rPr>
        <w:t>12</w:t>
      </w:r>
      <w:r>
        <w:t>. A doença celíaca com sintomas não clássicos, ou atípica, tem tendência a um início mais tardio dos sintomas, e pr</w:t>
      </w:r>
      <w:r>
        <w:t xml:space="preserve">edominam as manifestações extra intestinais, como: anemia ferropriva, osteoporose, defeitos dentários, dermatite </w:t>
      </w:r>
      <w:proofErr w:type="spellStart"/>
      <w:r>
        <w:t>herpetiforme</w:t>
      </w:r>
      <w:proofErr w:type="spellEnd"/>
      <w:r>
        <w:t>, artrite e artralgia, infertilidade, alterações tireoidianas e doenças autoimunes</w:t>
      </w:r>
      <w:r>
        <w:rPr>
          <w:vertAlign w:val="superscript"/>
        </w:rPr>
        <w:t>11</w:t>
      </w:r>
      <w:r>
        <w:t>. Já o padrão assintomático/silencioso da doenç</w:t>
      </w:r>
      <w:r>
        <w:t>a é a condição na qual os pacientes apresentam alterações do quadro histopatológico do intestino delgado proximal, porém sem sintomas. Por fim, o padrão latente é uma condição na qual os pacientes apresentam, num dado momento, características histopatológi</w:t>
      </w:r>
      <w:r>
        <w:t>cas jejunais normais consumindo glúten e, em outro período, apresentam atrofia subtotal das vilosidades intestinais</w:t>
      </w:r>
      <w:r>
        <w:rPr>
          <w:vertAlign w:val="superscript"/>
        </w:rPr>
        <w:t>11</w:t>
      </w:r>
      <w:r>
        <w:t xml:space="preserve">.  </w:t>
      </w:r>
    </w:p>
    <w:p w:rsidR="00130AB6" w:rsidRDefault="002C7D32">
      <w:pPr>
        <w:spacing w:after="355" w:line="259" w:lineRule="auto"/>
        <w:ind w:left="0" w:right="0" w:firstLine="0"/>
        <w:jc w:val="left"/>
      </w:pPr>
      <w:r>
        <w:t xml:space="preserve"> </w:t>
      </w:r>
    </w:p>
    <w:p w:rsidR="00130AB6" w:rsidRDefault="002C7D32">
      <w:pPr>
        <w:pStyle w:val="Ttulo2"/>
        <w:spacing w:after="117" w:line="259" w:lineRule="auto"/>
        <w:ind w:left="387" w:right="167" w:hanging="402"/>
        <w:jc w:val="both"/>
      </w:pPr>
      <w:bookmarkStart w:id="8" w:name="_Toc59540"/>
      <w:r>
        <w:rPr>
          <w:b w:val="0"/>
        </w:rPr>
        <w:t xml:space="preserve">Diagnóstico  </w:t>
      </w:r>
      <w:bookmarkEnd w:id="8"/>
    </w:p>
    <w:p w:rsidR="00130AB6" w:rsidRDefault="002C7D32">
      <w:pPr>
        <w:spacing w:after="237"/>
        <w:ind w:left="-5" w:right="167"/>
      </w:pPr>
      <w:r>
        <w:t>Os métodos utilizados na investigação diagnóstica da doença celíaca são a pesquisa de marcadores imunológicos/sorológic</w:t>
      </w:r>
      <w:r>
        <w:t>os e a biópsia endoscópica da mucosa duodenal e jejunal, além da análise clínica</w:t>
      </w:r>
      <w:r>
        <w:rPr>
          <w:vertAlign w:val="superscript"/>
        </w:rPr>
        <w:t>13</w:t>
      </w:r>
      <w:r>
        <w:t>. Os testes sorológicos são úteis para identificar os doentes que necessitam de biopsia duodenal confirmatória do diagnóstico, para corroborar a doença naqueles com alteraçõe</w:t>
      </w:r>
      <w:r>
        <w:t>s histopatológicas características de doença celíaca na biopsia e para monitorizar a resposta ao tratamento</w:t>
      </w:r>
      <w:r>
        <w:rPr>
          <w:vertAlign w:val="superscript"/>
        </w:rPr>
        <w:t>14</w:t>
      </w:r>
      <w:r>
        <w:t xml:space="preserve">. Os principais marcadores são os anticorpos </w:t>
      </w:r>
      <w:proofErr w:type="spellStart"/>
      <w:r>
        <w:t>anti-endomísio</w:t>
      </w:r>
      <w:proofErr w:type="spellEnd"/>
      <w:r>
        <w:t xml:space="preserve"> e os anticorpos </w:t>
      </w:r>
      <w:proofErr w:type="spellStart"/>
      <w:r>
        <w:t>anti-transglutaminase</w:t>
      </w:r>
      <w:proofErr w:type="spellEnd"/>
      <w:r>
        <w:t xml:space="preserve"> tecidual. O </w:t>
      </w:r>
      <w:proofErr w:type="spellStart"/>
      <w:r>
        <w:t>anti-tTG</w:t>
      </w:r>
      <w:proofErr w:type="spellEnd"/>
      <w:r>
        <w:t xml:space="preserve"> é o anticorpo contra a </w:t>
      </w:r>
      <w:proofErr w:type="spellStart"/>
      <w:r>
        <w:t>trans</w:t>
      </w:r>
      <w:r>
        <w:t>glutaminase</w:t>
      </w:r>
      <w:proofErr w:type="spellEnd"/>
      <w:r>
        <w:t xml:space="preserve"> tecidual, enzima responsável pela </w:t>
      </w:r>
      <w:proofErr w:type="spellStart"/>
      <w:r>
        <w:t>deaminação</w:t>
      </w:r>
      <w:proofErr w:type="spellEnd"/>
      <w:r>
        <w:t xml:space="preserve"> da </w:t>
      </w:r>
      <w:proofErr w:type="spellStart"/>
      <w:r>
        <w:t>gliadina</w:t>
      </w:r>
      <w:proofErr w:type="spellEnd"/>
      <w:r>
        <w:t xml:space="preserve"> na lâmina própria, e, para detectá-lo, utiliza-se do método de ELISA. Já os anticorpos EMA ligam-se ao </w:t>
      </w:r>
      <w:proofErr w:type="spellStart"/>
      <w:r>
        <w:t>endomísio</w:t>
      </w:r>
      <w:proofErr w:type="spellEnd"/>
      <w:r>
        <w:t>, o tecido conjuntivo ao redor do músculo liso, produzindo um padrão caract</w:t>
      </w:r>
      <w:r>
        <w:t>erístico, sendo detectado por imunofluorescência indireta, método mais demorado que o ELISA</w:t>
      </w:r>
      <w:r>
        <w:rPr>
          <w:vertAlign w:val="superscript"/>
        </w:rPr>
        <w:t>13</w:t>
      </w:r>
      <w:r>
        <w:t xml:space="preserve">. Estes testes de triagem para doença celíaca detectam primariamente anticorpos da classe IgA e, por isso, indivíduos com deficiência de </w:t>
      </w:r>
      <w:r>
        <w:lastRenderedPageBreak/>
        <w:t>imunoglobulina A pode have</w:t>
      </w:r>
      <w:r>
        <w:t>r resultados falso-negativos nos testes sorológicos. Logo, é recomendável investigar a dosagem sérica da imunoglobulina A nos indivíduos com suspeita clínica da doença, mas que apresentam sorologia negativa. Confirmando-se a deficiência seletiva de IgA, po</w:t>
      </w:r>
      <w:r>
        <w:t xml:space="preserve">de ser realizada a sorologia com </w:t>
      </w:r>
      <w:proofErr w:type="spellStart"/>
      <w:r>
        <w:t>IgG</w:t>
      </w:r>
      <w:proofErr w:type="spellEnd"/>
      <w:r>
        <w:t xml:space="preserve">, a qual tanto o EMA </w:t>
      </w:r>
      <w:proofErr w:type="spellStart"/>
      <w:r>
        <w:t>IgG</w:t>
      </w:r>
      <w:proofErr w:type="spellEnd"/>
      <w:r>
        <w:t xml:space="preserve"> quanto o </w:t>
      </w:r>
      <w:proofErr w:type="spellStart"/>
      <w:r>
        <w:t>tTGA</w:t>
      </w:r>
      <w:proofErr w:type="spellEnd"/>
      <w:r>
        <w:t xml:space="preserve"> </w:t>
      </w:r>
      <w:proofErr w:type="spellStart"/>
      <w:r>
        <w:t>IgG</w:t>
      </w:r>
      <w:proofErr w:type="spellEnd"/>
      <w:r>
        <w:t xml:space="preserve"> têm uma sensibilidade próxima de 100% e excelente especificidade</w:t>
      </w:r>
      <w:r>
        <w:rPr>
          <w:vertAlign w:val="superscript"/>
        </w:rPr>
        <w:t>16</w:t>
      </w:r>
      <w:r>
        <w:t xml:space="preserve">.  </w:t>
      </w:r>
    </w:p>
    <w:p w:rsidR="00130AB6" w:rsidRDefault="002C7D32">
      <w:pPr>
        <w:ind w:left="-5" w:right="167"/>
      </w:pPr>
      <w:r>
        <w:t>Apesar do desenvolvimento recente dos novos testes sorológicos de mais sensibilidade e especificidade,</w:t>
      </w:r>
      <w:r>
        <w:rPr>
          <w:rFonts w:ascii="Calibri" w:eastAsia="Calibri" w:hAnsi="Calibri" w:cs="Calibri"/>
          <w:sz w:val="22"/>
        </w:rPr>
        <w:t xml:space="preserve"> </w:t>
      </w:r>
      <w:r>
        <w:t>a an</w:t>
      </w:r>
      <w:r>
        <w:t xml:space="preserve">álise histológica permanece ainda como </w:t>
      </w:r>
      <w:proofErr w:type="spellStart"/>
      <w:r>
        <w:t>padrãoouro</w:t>
      </w:r>
      <w:proofErr w:type="spellEnd"/>
      <w:r>
        <w:t xml:space="preserve"> no diagnóstico de doença celíaca</w:t>
      </w:r>
      <w:r>
        <w:rPr>
          <w:vertAlign w:val="superscript"/>
        </w:rPr>
        <w:t>7</w:t>
      </w:r>
      <w:r>
        <w:t xml:space="preserve">. Baseado na presença de uma ou mais lesões elementares, a </w:t>
      </w:r>
      <w:proofErr w:type="spellStart"/>
      <w:r>
        <w:t>histopatologia</w:t>
      </w:r>
      <w:proofErr w:type="spellEnd"/>
      <w:r>
        <w:t xml:space="preserve"> da doença celíaca é subdividida em diferentes categorias diagnósticas, de acordo com a classificaçã</w:t>
      </w:r>
      <w:r>
        <w:t xml:space="preserve">o de </w:t>
      </w:r>
      <w:proofErr w:type="spellStart"/>
      <w:r>
        <w:t>Marsh</w:t>
      </w:r>
      <w:proofErr w:type="spellEnd"/>
      <w:r>
        <w:t xml:space="preserve">: tipo 1 ou lesão </w:t>
      </w:r>
      <w:proofErr w:type="spellStart"/>
      <w:r>
        <w:t>infiltrativa</w:t>
      </w:r>
      <w:proofErr w:type="spellEnd"/>
      <w:r>
        <w:t xml:space="preserve">, que apresenta arquitetura vilosa e mucosa normal, além de aumento de linfócitos </w:t>
      </w:r>
      <w:proofErr w:type="spellStart"/>
      <w:r>
        <w:t>intraepiteliais</w:t>
      </w:r>
      <w:proofErr w:type="spellEnd"/>
      <w:r>
        <w:t xml:space="preserve"> (&gt;30-40 linfócitos por 100 enterócitos contados); tipo 2 ou lesão hiperplásica, que é semelhante ao </w:t>
      </w:r>
      <w:proofErr w:type="spellStart"/>
      <w:r>
        <w:t>Marsh</w:t>
      </w:r>
      <w:proofErr w:type="spellEnd"/>
      <w:r>
        <w:t xml:space="preserve"> 1, mas apres</w:t>
      </w:r>
      <w:r>
        <w:t xml:space="preserve">enta também hiperplasia de criptas; tipo 3 ou lesão destrutiva, que também é caracterizada pelo número aumentado de linfócitos </w:t>
      </w:r>
      <w:proofErr w:type="spellStart"/>
      <w:r>
        <w:t>intraepiteliais</w:t>
      </w:r>
      <w:proofErr w:type="spellEnd"/>
      <w:r>
        <w:t xml:space="preserve">, mas apresenta, além disso, graus variáveis de atrofia dos </w:t>
      </w:r>
      <w:proofErr w:type="spellStart"/>
      <w:r>
        <w:t>vilos</w:t>
      </w:r>
      <w:proofErr w:type="spellEnd"/>
      <w:r>
        <w:t xml:space="preserve">, subdividido em </w:t>
      </w:r>
      <w:proofErr w:type="spellStart"/>
      <w:r>
        <w:t>IIIa</w:t>
      </w:r>
      <w:proofErr w:type="spellEnd"/>
      <w:r>
        <w:t xml:space="preserve"> - atrofia vilosa parcial, </w:t>
      </w:r>
      <w:proofErr w:type="spellStart"/>
      <w:r>
        <w:t>I</w:t>
      </w:r>
      <w:r>
        <w:t>IIb</w:t>
      </w:r>
      <w:proofErr w:type="spellEnd"/>
      <w:r>
        <w:t xml:space="preserve"> - atrofia vilosa subtotal e </w:t>
      </w:r>
      <w:proofErr w:type="spellStart"/>
      <w:r>
        <w:t>IIIc</w:t>
      </w:r>
      <w:proofErr w:type="spellEnd"/>
      <w:r>
        <w:t xml:space="preserve"> - atrofia vilosa total</w:t>
      </w:r>
      <w:r>
        <w:rPr>
          <w:vertAlign w:val="superscript"/>
        </w:rPr>
        <w:t>4</w:t>
      </w:r>
      <w:r>
        <w:t xml:space="preserve">.  </w:t>
      </w:r>
    </w:p>
    <w:p w:rsidR="00130AB6" w:rsidRDefault="002C7D32">
      <w:pPr>
        <w:spacing w:after="355" w:line="259" w:lineRule="auto"/>
        <w:ind w:left="0" w:right="0" w:firstLine="0"/>
        <w:jc w:val="left"/>
      </w:pPr>
      <w:r>
        <w:t xml:space="preserve"> </w:t>
      </w:r>
    </w:p>
    <w:p w:rsidR="00130AB6" w:rsidRDefault="002C7D32">
      <w:pPr>
        <w:pStyle w:val="Ttulo2"/>
        <w:spacing w:after="115" w:line="259" w:lineRule="auto"/>
        <w:ind w:left="387" w:right="167" w:hanging="402"/>
        <w:jc w:val="both"/>
      </w:pPr>
      <w:bookmarkStart w:id="9" w:name="_Toc59541"/>
      <w:r>
        <w:rPr>
          <w:b w:val="0"/>
        </w:rPr>
        <w:t xml:space="preserve">Fisiopatologia  </w:t>
      </w:r>
      <w:bookmarkEnd w:id="9"/>
    </w:p>
    <w:p w:rsidR="00130AB6" w:rsidRDefault="002C7D32">
      <w:pPr>
        <w:spacing w:after="316" w:line="259" w:lineRule="auto"/>
        <w:ind w:left="-5" w:right="167"/>
      </w:pPr>
      <w:r>
        <w:t xml:space="preserve">3.4.1 Fatores ambientais  </w:t>
      </w:r>
    </w:p>
    <w:p w:rsidR="00130AB6" w:rsidRDefault="002C7D32">
      <w:pPr>
        <w:ind w:left="-5" w:right="167"/>
      </w:pPr>
      <w:r>
        <w:t xml:space="preserve">Comparando estudos sobre a prevalência da doença celíaca em diferentes países, é possível perceber diferenças importantes, as quais podem estar relacionadas à fatores genéticos, dietéticos ou ambientais. Exemplos disso são o aleitamento materno prolongado </w:t>
      </w:r>
      <w:r>
        <w:t>e a introdução tardia do glúten durante os primeiros anos de vida, fatores que se associam a uma menor prevalência de doença celíaca</w:t>
      </w:r>
      <w:r>
        <w:rPr>
          <w:vertAlign w:val="superscript"/>
        </w:rPr>
        <w:t>16</w:t>
      </w:r>
      <w:r>
        <w:t xml:space="preserve">. </w:t>
      </w:r>
    </w:p>
    <w:p w:rsidR="00130AB6" w:rsidRDefault="002C7D32">
      <w:pPr>
        <w:spacing w:after="316" w:line="259" w:lineRule="auto"/>
        <w:ind w:left="0" w:right="0" w:firstLine="0"/>
        <w:jc w:val="left"/>
      </w:pPr>
      <w:r>
        <w:t xml:space="preserve"> </w:t>
      </w:r>
    </w:p>
    <w:p w:rsidR="00130AB6" w:rsidRDefault="002C7D32">
      <w:pPr>
        <w:spacing w:after="317" w:line="259" w:lineRule="auto"/>
        <w:ind w:left="-5" w:right="167"/>
      </w:pPr>
      <w:r>
        <w:t xml:space="preserve">3.4.2 Fatores imunológicos </w:t>
      </w:r>
    </w:p>
    <w:p w:rsidR="00130AB6" w:rsidRDefault="002C7D32">
      <w:pPr>
        <w:ind w:left="-5" w:right="167"/>
      </w:pPr>
      <w:r>
        <w:t>O glúten é um polipeptídio que possui frações proteicas solúveis em álcool chamadas prola</w:t>
      </w:r>
      <w:r>
        <w:t>minas</w:t>
      </w:r>
      <w:r>
        <w:rPr>
          <w:vertAlign w:val="superscript"/>
        </w:rPr>
        <w:t>3</w:t>
      </w:r>
      <w:r>
        <w:t xml:space="preserve">. Estas são consideradas tóxicas ao celíaco e diferem de acordo com o </w:t>
      </w:r>
      <w:r>
        <w:lastRenderedPageBreak/>
        <w:t xml:space="preserve">tipo de cereal, sendo denominadas de </w:t>
      </w:r>
      <w:proofErr w:type="spellStart"/>
      <w:r>
        <w:t>gliadina</w:t>
      </w:r>
      <w:proofErr w:type="spellEnd"/>
      <w:r>
        <w:t xml:space="preserve"> no trigo, </w:t>
      </w:r>
      <w:proofErr w:type="spellStart"/>
      <w:r>
        <w:t>secalina</w:t>
      </w:r>
      <w:proofErr w:type="spellEnd"/>
      <w:r>
        <w:t xml:space="preserve"> no centeio, </w:t>
      </w:r>
      <w:proofErr w:type="spellStart"/>
      <w:r>
        <w:t>hordeína</w:t>
      </w:r>
      <w:proofErr w:type="spellEnd"/>
      <w:r>
        <w:t xml:space="preserve"> na cevada e </w:t>
      </w:r>
      <w:proofErr w:type="spellStart"/>
      <w:r>
        <w:t>avenina</w:t>
      </w:r>
      <w:proofErr w:type="spellEnd"/>
      <w:r>
        <w:t xml:space="preserve"> na aveia. A α-</w:t>
      </w:r>
      <w:proofErr w:type="spellStart"/>
      <w:r>
        <w:t>gliadina</w:t>
      </w:r>
      <w:proofErr w:type="spellEnd"/>
      <w:r>
        <w:t xml:space="preserve"> é o segmento mais tóxico desta proteína, é substrat</w:t>
      </w:r>
      <w:r>
        <w:t xml:space="preserve">o para a </w:t>
      </w:r>
      <w:proofErr w:type="spellStart"/>
      <w:r>
        <w:t>tTG</w:t>
      </w:r>
      <w:proofErr w:type="spellEnd"/>
      <w:r>
        <w:t xml:space="preserve">, uma enzima envolvida na reparação do tecido danificado. Ela se liga com elevada especificidade a </w:t>
      </w:r>
      <w:proofErr w:type="spellStart"/>
      <w:r>
        <w:t>gliadina</w:t>
      </w:r>
      <w:proofErr w:type="spellEnd"/>
      <w:r>
        <w:t xml:space="preserve">, culminando na reação química de transformação da glutamina em glutamato. Este como possui carga negativa, favorece a ligação a HLA DQ2 </w:t>
      </w:r>
      <w:r>
        <w:t>e DQ8</w:t>
      </w:r>
      <w:r>
        <w:rPr>
          <w:vertAlign w:val="superscript"/>
        </w:rPr>
        <w:t>16</w:t>
      </w:r>
      <w:r>
        <w:t xml:space="preserve">. Neste contexto, a </w:t>
      </w:r>
      <w:proofErr w:type="spellStart"/>
      <w:r>
        <w:t>gliadina</w:t>
      </w:r>
      <w:proofErr w:type="spellEnd"/>
      <w:r>
        <w:t xml:space="preserve"> comporta-se como um antígeno, desencadeando uma resposta autoimune nos pacientes celíacos. </w:t>
      </w:r>
    </w:p>
    <w:p w:rsidR="00130AB6" w:rsidRDefault="002C7D32">
      <w:pPr>
        <w:spacing w:after="316" w:line="259" w:lineRule="auto"/>
        <w:ind w:left="0" w:right="0" w:firstLine="0"/>
        <w:jc w:val="left"/>
      </w:pPr>
      <w:r>
        <w:t xml:space="preserve"> </w:t>
      </w:r>
    </w:p>
    <w:p w:rsidR="00130AB6" w:rsidRDefault="002C7D32">
      <w:pPr>
        <w:spacing w:after="316" w:line="259" w:lineRule="auto"/>
        <w:ind w:left="-5" w:right="167"/>
      </w:pPr>
      <w:r>
        <w:t xml:space="preserve">3.4.3 Fatores genéticos  </w:t>
      </w:r>
    </w:p>
    <w:p w:rsidR="00130AB6" w:rsidRDefault="002C7D32">
      <w:pPr>
        <w:spacing w:after="0"/>
        <w:ind w:left="-5" w:right="167"/>
      </w:pPr>
      <w:r>
        <w:t>Pesquisas sugerem que a incidência de doença celíaca em familiares de doentes celíacos é significati</w:t>
      </w:r>
      <w:r>
        <w:t>vamente superior à incidência na população geral. Estudos realizados em familiares de doentes celíacos demonstraram um aumento da prevalência (10-20%) em descendentes do 1º grau, elevada concordância (70-75%) em gémeos monozigóticos e relativa concordância</w:t>
      </w:r>
      <w:r>
        <w:t xml:space="preserve"> (30%) em gémeos que </w:t>
      </w:r>
    </w:p>
    <w:p w:rsidR="00130AB6" w:rsidRDefault="002C7D32">
      <w:pPr>
        <w:spacing w:after="371" w:line="259" w:lineRule="auto"/>
        <w:ind w:left="-5" w:right="167"/>
      </w:pPr>
      <w:r>
        <w:t>compartilham antígenos do HLA</w:t>
      </w:r>
      <w:r>
        <w:rPr>
          <w:vertAlign w:val="superscript"/>
        </w:rPr>
        <w:t>11,12</w:t>
      </w:r>
      <w:r>
        <w:t xml:space="preserve">. </w:t>
      </w:r>
    </w:p>
    <w:p w:rsidR="00130AB6" w:rsidRDefault="002C7D32">
      <w:pPr>
        <w:spacing w:after="221"/>
        <w:ind w:left="-5" w:right="167"/>
      </w:pPr>
      <w:r>
        <w:t xml:space="preserve">A doença celíaca encontra-se associada ao sistema de Antígenos de Histocompatibilidade Humana (HLA), mais especificamente os genes HLA DQ2 (presente em 80% - 95% dos pacientes) e DQ-8, necessários </w:t>
      </w:r>
      <w:r>
        <w:t xml:space="preserve">para o desenvolvimento da doença. No entanto, muitos pacientes que apresentam estes alelos não desenvolvem a doença celíaca, apesar da sua presença ser necessária, mas não é suficiente para o desenvolvimento da doença. Os genes não-HLA estão envolvidos na </w:t>
      </w:r>
      <w:r>
        <w:t>susceptibilidade à doença, mas sua influência não é esclarecida</w:t>
      </w:r>
      <w:r>
        <w:rPr>
          <w:vertAlign w:val="superscript"/>
        </w:rPr>
        <w:t>16</w:t>
      </w:r>
      <w: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2" w:line="450" w:lineRule="auto"/>
        <w:ind w:left="0" w:right="9182" w:firstLine="0"/>
        <w:jc w:val="left"/>
      </w:pPr>
      <w:r>
        <w:rPr>
          <w:b/>
        </w:rPr>
        <w:t xml:space="preserve">   </w:t>
      </w:r>
    </w:p>
    <w:p w:rsidR="00130AB6" w:rsidRDefault="002C7D32">
      <w:pPr>
        <w:spacing w:after="2" w:line="450" w:lineRule="auto"/>
        <w:ind w:left="0" w:right="9182" w:firstLine="0"/>
        <w:jc w:val="left"/>
      </w:pPr>
      <w:r>
        <w:rPr>
          <w:b/>
        </w:rPr>
        <w:t xml:space="preserve">       </w:t>
      </w:r>
    </w:p>
    <w:p w:rsidR="00130AB6" w:rsidRDefault="002C7D32">
      <w:pPr>
        <w:spacing w:after="0" w:line="450" w:lineRule="auto"/>
        <w:ind w:left="0" w:right="9182" w:firstLine="0"/>
        <w:jc w:val="left"/>
      </w:pPr>
      <w:r>
        <w:rPr>
          <w:b/>
        </w:rPr>
        <w:t xml:space="preserve">    </w:t>
      </w:r>
      <w:r>
        <w:t xml:space="preserve"> </w:t>
      </w:r>
    </w:p>
    <w:p w:rsidR="00130AB6" w:rsidRDefault="002C7D32">
      <w:pPr>
        <w:pStyle w:val="Ttulo1"/>
        <w:spacing w:after="11"/>
        <w:ind w:left="720" w:right="0" w:hanging="360"/>
      </w:pPr>
      <w:bookmarkStart w:id="10" w:name="_Toc59542"/>
      <w:r>
        <w:t xml:space="preserve">MATERIAIS E MÉTODOS </w:t>
      </w:r>
      <w:bookmarkEnd w:id="10"/>
    </w:p>
    <w:p w:rsidR="00130AB6" w:rsidRDefault="002C7D32">
      <w:pPr>
        <w:spacing w:after="261" w:line="259" w:lineRule="auto"/>
        <w:ind w:left="0" w:right="0" w:firstLine="0"/>
        <w:jc w:val="left"/>
      </w:pPr>
      <w:r>
        <w:rPr>
          <w:b/>
        </w:rPr>
        <w:t xml:space="preserve"> </w:t>
      </w:r>
    </w:p>
    <w:p w:rsidR="00130AB6" w:rsidRDefault="002C7D32">
      <w:pPr>
        <w:pStyle w:val="Ttulo2"/>
        <w:ind w:left="388" w:right="0" w:hanging="403"/>
      </w:pPr>
      <w:bookmarkStart w:id="11" w:name="_Toc59543"/>
      <w:r>
        <w:lastRenderedPageBreak/>
        <w:t xml:space="preserve">Desenho de estudo </w:t>
      </w:r>
      <w:bookmarkEnd w:id="11"/>
    </w:p>
    <w:p w:rsidR="00130AB6" w:rsidRDefault="002C7D32">
      <w:pPr>
        <w:ind w:left="-5" w:right="167"/>
      </w:pPr>
      <w:r>
        <w:t>Trata-se de um estudo descritivo, do tipo transversal e observacional. Caracteriza-</w:t>
      </w:r>
      <w:r>
        <w:t>se como primário quanto à originalidade, com unidade de análise individuada do tipo clínica. A amostra é de conveniência, não probabilística, abrangendo os membros da ACELBRA/BA (Associação de Celíacos do Brasil - regional Bahia). O estudo foi realizado pe</w:t>
      </w:r>
      <w:r>
        <w:t>la coleta de dados através de um questionário virtual para pessoas portadoras de Doença Celíaca. O contato com os associados foi feito através da Dra. Katia Baptista, coordenadora da ACELBRA-BA, a qual enviou o questionário junto ao TCLE. Assim, os partici</w:t>
      </w:r>
      <w:r>
        <w:t xml:space="preserve">pantes concordaram em participar da pesquisa e responderam às perguntas. </w:t>
      </w:r>
    </w:p>
    <w:p w:rsidR="00130AB6" w:rsidRDefault="002C7D32">
      <w:pPr>
        <w:spacing w:after="379" w:line="259" w:lineRule="auto"/>
        <w:ind w:left="0" w:right="0" w:firstLine="0"/>
        <w:jc w:val="left"/>
      </w:pPr>
      <w:r>
        <w:t xml:space="preserve"> </w:t>
      </w:r>
    </w:p>
    <w:p w:rsidR="00130AB6" w:rsidRDefault="002C7D32">
      <w:pPr>
        <w:pStyle w:val="Ttulo2"/>
        <w:spacing w:after="299"/>
        <w:ind w:left="387" w:right="0" w:hanging="402"/>
      </w:pPr>
      <w:bookmarkStart w:id="12" w:name="_Toc59544"/>
      <w:r>
        <w:t xml:space="preserve">População do estudo </w:t>
      </w:r>
      <w:r>
        <w:rPr>
          <w:rFonts w:ascii="Calibri" w:eastAsia="Calibri" w:hAnsi="Calibri" w:cs="Calibri"/>
          <w:b w:val="0"/>
          <w:color w:val="2F5496"/>
          <w:sz w:val="32"/>
        </w:rPr>
        <w:t xml:space="preserve"> </w:t>
      </w:r>
      <w:bookmarkEnd w:id="12"/>
    </w:p>
    <w:p w:rsidR="00130AB6" w:rsidRDefault="002C7D32">
      <w:pPr>
        <w:spacing w:after="396" w:line="259" w:lineRule="auto"/>
        <w:ind w:left="-5" w:right="167"/>
      </w:pPr>
      <w:r>
        <w:t xml:space="preserve">4.2.1 Critérios de Inclusão </w:t>
      </w:r>
    </w:p>
    <w:p w:rsidR="00130AB6" w:rsidRDefault="002C7D32">
      <w:pPr>
        <w:spacing w:after="275"/>
        <w:ind w:left="-5" w:right="167"/>
      </w:pPr>
      <w:r>
        <w:t>Pessoas portadoras de Doença Celíaca, maiores de 18 anos, residentes do Estado da Bahia e membros da ACELBRA-BA.</w:t>
      </w:r>
      <w:r>
        <w:rPr>
          <w:color w:val="FF0000"/>
        </w:rPr>
        <w:t xml:space="preserve"> </w:t>
      </w:r>
    </w:p>
    <w:p w:rsidR="00130AB6" w:rsidRDefault="002C7D32">
      <w:pPr>
        <w:spacing w:after="396" w:line="259" w:lineRule="auto"/>
        <w:ind w:left="-5" w:right="167"/>
      </w:pPr>
      <w:r>
        <w:t>4.2.2 Critérios</w:t>
      </w:r>
      <w:r>
        <w:t xml:space="preserve"> de Exclusão </w:t>
      </w:r>
    </w:p>
    <w:p w:rsidR="00130AB6" w:rsidRDefault="002C7D32">
      <w:pPr>
        <w:spacing w:after="396" w:line="259" w:lineRule="auto"/>
        <w:ind w:left="-5" w:right="167"/>
      </w:pPr>
      <w:r>
        <w:t xml:space="preserve">Respostas com dados insuficientes para as análises. </w:t>
      </w:r>
    </w:p>
    <w:p w:rsidR="00130AB6" w:rsidRDefault="002C7D32">
      <w:pPr>
        <w:spacing w:after="396" w:line="259" w:lineRule="auto"/>
        <w:ind w:left="0" w:right="0" w:firstLine="0"/>
        <w:jc w:val="left"/>
      </w:pPr>
      <w:r>
        <w:t xml:space="preserve"> </w:t>
      </w:r>
    </w:p>
    <w:p w:rsidR="00130AB6" w:rsidRDefault="002C7D32">
      <w:pPr>
        <w:pStyle w:val="Ttulo2"/>
        <w:ind w:left="387" w:right="0" w:hanging="402"/>
      </w:pPr>
      <w:bookmarkStart w:id="13" w:name="_Toc59545"/>
      <w:r>
        <w:t xml:space="preserve">Instrumento de coleta de dados </w:t>
      </w:r>
      <w:bookmarkEnd w:id="13"/>
    </w:p>
    <w:p w:rsidR="00130AB6" w:rsidRDefault="002C7D32">
      <w:pPr>
        <w:ind w:left="-5" w:right="167"/>
      </w:pPr>
      <w:r>
        <w:t>A coleta de dados primários foi</w:t>
      </w:r>
      <w:r>
        <w:rPr>
          <w:color w:val="FF0000"/>
        </w:rPr>
        <w:t xml:space="preserve"> </w:t>
      </w:r>
      <w:r>
        <w:t xml:space="preserve">realizada através da análise das respostas de pacientes com diagnóstico de Doença Celíaca em questionário virtual. </w:t>
      </w:r>
      <w:r>
        <w:t xml:space="preserve">A plataforma utilizada para o questionário foi o Google </w:t>
      </w:r>
      <w:proofErr w:type="spellStart"/>
      <w:r>
        <w:t>Forms</w:t>
      </w:r>
      <w:proofErr w:type="spellEnd"/>
      <w:r>
        <w:t xml:space="preserve"> e, posteriormente, as respostas foram tabeladas na plataforma do Microsoft Excel em forma de planilha. Assim, foram colhidos dados sociodemográficos (como idade, sexo e etnia), informações clíni</w:t>
      </w:r>
      <w:r>
        <w:t xml:space="preserve">cas, informações sobre hábitos de vida, bem como complicações associadas.  </w:t>
      </w:r>
    </w:p>
    <w:p w:rsidR="00130AB6" w:rsidRDefault="002C7D32">
      <w:pPr>
        <w:spacing w:after="0" w:line="259" w:lineRule="auto"/>
        <w:ind w:left="0" w:right="0" w:firstLine="0"/>
        <w:jc w:val="left"/>
      </w:pPr>
      <w:r>
        <w:t xml:space="preserve"> </w:t>
      </w:r>
    </w:p>
    <w:p w:rsidR="00130AB6" w:rsidRDefault="002C7D32">
      <w:pPr>
        <w:pStyle w:val="Ttulo2"/>
        <w:spacing w:after="197" w:line="365" w:lineRule="auto"/>
        <w:ind w:left="388" w:right="5980" w:hanging="403"/>
        <w:jc w:val="both"/>
      </w:pPr>
      <w:bookmarkStart w:id="14" w:name="_Toc59546"/>
      <w:r>
        <w:t xml:space="preserve">Variáveis do estudo </w:t>
      </w:r>
      <w:bookmarkEnd w:id="14"/>
    </w:p>
    <w:p w:rsidR="00130AB6" w:rsidRDefault="002C7D32">
      <w:pPr>
        <w:ind w:left="-5" w:right="5980"/>
      </w:pPr>
      <w:r>
        <w:t xml:space="preserve">4.4.1 Quanto à Natureza: </w:t>
      </w:r>
    </w:p>
    <w:p w:rsidR="00130AB6" w:rsidRDefault="002C7D32">
      <w:pPr>
        <w:spacing w:after="333" w:line="259" w:lineRule="auto"/>
        <w:ind w:left="-5" w:right="0"/>
        <w:jc w:val="left"/>
      </w:pPr>
      <w:r>
        <w:rPr>
          <w:u w:val="single" w:color="000000"/>
        </w:rPr>
        <w:lastRenderedPageBreak/>
        <w:t>Qualitativas:</w:t>
      </w:r>
      <w:r>
        <w:t xml:space="preserve">  </w:t>
      </w:r>
    </w:p>
    <w:p w:rsidR="00130AB6" w:rsidRDefault="002C7D32">
      <w:pPr>
        <w:spacing w:after="334" w:line="259" w:lineRule="auto"/>
        <w:ind w:left="-5" w:right="167"/>
      </w:pPr>
      <w:r>
        <w:t xml:space="preserve">Nominais:  </w:t>
      </w:r>
    </w:p>
    <w:p w:rsidR="00130AB6" w:rsidRDefault="002C7D32">
      <w:pPr>
        <w:numPr>
          <w:ilvl w:val="0"/>
          <w:numId w:val="1"/>
        </w:numPr>
        <w:ind w:right="167" w:hanging="360"/>
      </w:pPr>
      <w:r>
        <w:t>Sexo (feminino, masculino ou outro); Cor/raça (branco, preto, pardo, amarelo ou indígena); Escolaridade</w:t>
      </w:r>
      <w:r>
        <w:t xml:space="preserve"> (fundamental incompleto, fundamental completo, médio incompleto, médio completo, superior incompleto ou superior completo); Ocupação; Acesso ao sistema de saúde (público ou privado); Hereditariedade da doença (parente de 1º grau, parente de 2º grau ou nen</w:t>
      </w:r>
      <w:r>
        <w:t xml:space="preserve">hum); Comorbidades (Diabetes Mellitus, doença tireóidea, síndrome do intestino irritável, Lúpus, doença hepática, Síndrome de </w:t>
      </w:r>
      <w:proofErr w:type="spellStart"/>
      <w:r>
        <w:t>Sjögren</w:t>
      </w:r>
      <w:proofErr w:type="spellEnd"/>
      <w:r>
        <w:t xml:space="preserve"> ou outro);</w:t>
      </w:r>
      <w:r>
        <w:rPr>
          <w:rFonts w:ascii="Calibri" w:eastAsia="Calibri" w:hAnsi="Calibri" w:cs="Calibri"/>
          <w:sz w:val="22"/>
        </w:rPr>
        <w:t xml:space="preserve"> </w:t>
      </w:r>
      <w:r>
        <w:t>Método de diagnóstico da doença celíaca (dosagem de IgA ou biópsia duodenal em endoscopia); Primeira manifestaç</w:t>
      </w:r>
      <w:r>
        <w:t xml:space="preserve">ão da doença (diarreia, flatulência, cólicas abdominais, emagrecimento, dermatite </w:t>
      </w:r>
      <w:proofErr w:type="spellStart"/>
      <w:r>
        <w:t>herpetiforme</w:t>
      </w:r>
      <w:proofErr w:type="spellEnd"/>
      <w:r>
        <w:t xml:space="preserve">, enxaqueca, dores articulares, anemia ferropriva ou outro); Outros sintomas apresentados (diarreia, flatulência, cólicas abdominais, emagrecimento, dermatite </w:t>
      </w:r>
      <w:proofErr w:type="spellStart"/>
      <w:r>
        <w:t>her</w:t>
      </w:r>
      <w:r>
        <w:t>petiforme</w:t>
      </w:r>
      <w:proofErr w:type="spellEnd"/>
      <w:r>
        <w:t>, enxaqueca, dores articulares ou outro); Atraso no diagnóstico; Eliminação do glúten na dieta; Comprometimento da qualidade de vida; Complicações (osteopenia, osteoporose, déficit no crescimento, infertilidade, deficiência de vitaminas, anemia ou</w:t>
      </w:r>
      <w:r>
        <w:t xml:space="preserve"> outro). </w:t>
      </w:r>
      <w:r>
        <w:rPr>
          <w:u w:val="single" w:color="000000"/>
        </w:rPr>
        <w:t>Quantitativas</w:t>
      </w:r>
      <w:r>
        <w:t xml:space="preserve">  </w:t>
      </w:r>
    </w:p>
    <w:p w:rsidR="00130AB6" w:rsidRDefault="002C7D32">
      <w:pPr>
        <w:spacing w:after="334" w:line="259" w:lineRule="auto"/>
        <w:ind w:left="-5" w:right="167"/>
      </w:pPr>
      <w:r>
        <w:t xml:space="preserve">Contínuas:  </w:t>
      </w:r>
    </w:p>
    <w:p w:rsidR="00130AB6" w:rsidRDefault="002C7D32">
      <w:pPr>
        <w:numPr>
          <w:ilvl w:val="0"/>
          <w:numId w:val="1"/>
        </w:numPr>
        <w:spacing w:after="0"/>
        <w:ind w:right="167" w:hanging="360"/>
      </w:pPr>
      <w:r>
        <w:t xml:space="preserve">Idade (em anos); Renda (em salários-mínimos); Idade no diagnóstico; Tempo entre o aparecimento dos sintomas e o diagnóstico da doença Celíaca. </w:t>
      </w:r>
    </w:p>
    <w:p w:rsidR="00130AB6" w:rsidRDefault="002C7D32">
      <w:pPr>
        <w:spacing w:after="316" w:line="259" w:lineRule="auto"/>
        <w:ind w:left="720" w:right="0" w:firstLine="0"/>
        <w:jc w:val="left"/>
      </w:pPr>
      <w:r>
        <w:t xml:space="preserve"> </w:t>
      </w:r>
    </w:p>
    <w:p w:rsidR="00130AB6" w:rsidRDefault="002C7D32">
      <w:pPr>
        <w:spacing w:after="316" w:line="259" w:lineRule="auto"/>
        <w:ind w:left="-5" w:right="167"/>
      </w:pPr>
      <w:r>
        <w:t xml:space="preserve">4.4.2 Quanto à Escala: </w:t>
      </w:r>
    </w:p>
    <w:p w:rsidR="00130AB6" w:rsidRDefault="002C7D32">
      <w:pPr>
        <w:spacing w:after="333" w:line="259" w:lineRule="auto"/>
        <w:ind w:left="-5" w:right="0"/>
        <w:jc w:val="left"/>
      </w:pPr>
      <w:r>
        <w:rPr>
          <w:u w:val="single" w:color="000000"/>
        </w:rPr>
        <w:t>Dicotômicas</w:t>
      </w:r>
      <w:r>
        <w:t xml:space="preserve"> </w:t>
      </w:r>
    </w:p>
    <w:p w:rsidR="00130AB6" w:rsidRDefault="002C7D32">
      <w:pPr>
        <w:numPr>
          <w:ilvl w:val="0"/>
          <w:numId w:val="1"/>
        </w:numPr>
        <w:ind w:right="167" w:hanging="360"/>
      </w:pPr>
      <w:r>
        <w:t xml:space="preserve">Atraso no diagnóstico; Acesso ao sistema de saúde (público ou privado); Eliminação do glúten na dieta; Comprometimento da qualidade de vida. </w:t>
      </w:r>
    </w:p>
    <w:p w:rsidR="00130AB6" w:rsidRDefault="002C7D32">
      <w:pPr>
        <w:spacing w:after="333" w:line="259" w:lineRule="auto"/>
        <w:ind w:left="-5" w:right="0"/>
        <w:jc w:val="left"/>
      </w:pPr>
      <w:proofErr w:type="spellStart"/>
      <w:r>
        <w:rPr>
          <w:u w:val="single" w:color="000000"/>
        </w:rPr>
        <w:t>Politômicas</w:t>
      </w:r>
      <w:proofErr w:type="spellEnd"/>
      <w:r>
        <w:t xml:space="preserve">  </w:t>
      </w:r>
    </w:p>
    <w:p w:rsidR="00130AB6" w:rsidRDefault="002C7D32">
      <w:pPr>
        <w:numPr>
          <w:ilvl w:val="0"/>
          <w:numId w:val="1"/>
        </w:numPr>
        <w:spacing w:after="0"/>
        <w:ind w:right="167" w:hanging="360"/>
      </w:pPr>
      <w:r>
        <w:t>Idade; Sexo (feminino, masculino ou outro); Cor/raça (branco, preto, pardo, amarelo ou indígena); Oc</w:t>
      </w:r>
      <w:r>
        <w:t xml:space="preserve">upação; Renda (em salários-mínimos); </w:t>
      </w:r>
      <w:r>
        <w:lastRenderedPageBreak/>
        <w:t xml:space="preserve">Hereditariedade da doença (parente de 1º grau, parente de 2º grau ou nenhum); Comorbidades (Diabetes Mellitus, doença tireóidea, síndrome do intestino irritável, Lúpus, doença hepática, Síndrome de </w:t>
      </w:r>
      <w:proofErr w:type="spellStart"/>
      <w:r>
        <w:t>Sjögren</w:t>
      </w:r>
      <w:proofErr w:type="spellEnd"/>
      <w:r>
        <w:t xml:space="preserve"> ou outro); Mé</w:t>
      </w:r>
      <w:r>
        <w:t xml:space="preserve">todo de diagnóstico da doença (dosagem de IgA ou biópsia duodenal em endoscopia); Primeira manifestação da doença (diarreia, flatulência, cólicas abdominais, emagrecimento, dermatite </w:t>
      </w:r>
      <w:proofErr w:type="spellStart"/>
      <w:r>
        <w:t>herpetiforme</w:t>
      </w:r>
      <w:proofErr w:type="spellEnd"/>
      <w:r>
        <w:t xml:space="preserve">, enxaqueca, dores articulares, anemia ferropriva ou outro); </w:t>
      </w:r>
      <w:r>
        <w:t xml:space="preserve">Outros sintomas apresentados (diarreia, flatulência, cólicas abdominais, emagrecimento, dermatite </w:t>
      </w:r>
      <w:proofErr w:type="spellStart"/>
      <w:r>
        <w:t>herpetiforme</w:t>
      </w:r>
      <w:proofErr w:type="spellEnd"/>
      <w:r>
        <w:t>, enxaqueca, dores articulares ou outro); Tempo entre o aparecimento dos sintomas e o diagnóstico de doença celíaca; Idade no diagnóstico; Complic</w:t>
      </w:r>
      <w:r>
        <w:t xml:space="preserve">ações (osteopenia, osteoporose, déficit no crescimento, infertilidade, deficiência de vitaminas, anemia ou outro). </w:t>
      </w:r>
    </w:p>
    <w:p w:rsidR="00130AB6" w:rsidRDefault="002C7D32">
      <w:pPr>
        <w:spacing w:after="317" w:line="259" w:lineRule="auto"/>
        <w:ind w:left="720" w:right="0" w:firstLine="0"/>
        <w:jc w:val="left"/>
      </w:pPr>
      <w:r>
        <w:t xml:space="preserve"> </w:t>
      </w:r>
    </w:p>
    <w:p w:rsidR="00130AB6" w:rsidRDefault="002C7D32">
      <w:pPr>
        <w:spacing w:after="316" w:line="259" w:lineRule="auto"/>
        <w:ind w:left="-5" w:right="167"/>
      </w:pPr>
      <w:r>
        <w:t xml:space="preserve">4.4.3 Quanto à Relação Expressa: </w:t>
      </w:r>
    </w:p>
    <w:p w:rsidR="00130AB6" w:rsidRDefault="002C7D32">
      <w:pPr>
        <w:spacing w:after="333" w:line="259" w:lineRule="auto"/>
        <w:ind w:left="-5" w:right="0"/>
        <w:jc w:val="left"/>
      </w:pPr>
      <w:r>
        <w:rPr>
          <w:u w:val="single" w:color="000000"/>
        </w:rPr>
        <w:t>Independentes</w:t>
      </w:r>
      <w:r>
        <w:t xml:space="preserve">  </w:t>
      </w:r>
    </w:p>
    <w:p w:rsidR="00130AB6" w:rsidRDefault="002C7D32">
      <w:pPr>
        <w:numPr>
          <w:ilvl w:val="0"/>
          <w:numId w:val="1"/>
        </w:numPr>
        <w:ind w:right="167" w:hanging="360"/>
      </w:pPr>
      <w:r>
        <w:t xml:space="preserve">Idade; Sexo (feminino, masculino ou outro); Cor/raça (branco, preto, </w:t>
      </w:r>
      <w:r>
        <w:t xml:space="preserve">pardo, amarelo ou indígena); Escolaridade (fundamental incompleto, fundamental completo, médio incompleto, médio completo, superior incompleto ou superior completo); Ocupação; Renda (em salários-mínimos); Comorbidades (Diabetes Mellitus, doença tireóidea, </w:t>
      </w:r>
      <w:r>
        <w:t xml:space="preserve">síndrome do intestino irritável, Lúpus, doença hepática, Síndrome de </w:t>
      </w:r>
      <w:proofErr w:type="spellStart"/>
      <w:r>
        <w:t>Sjögren</w:t>
      </w:r>
      <w:proofErr w:type="spellEnd"/>
      <w:r>
        <w:t xml:space="preserve"> ou outro);</w:t>
      </w:r>
      <w:r>
        <w:rPr>
          <w:rFonts w:ascii="Calibri" w:eastAsia="Calibri" w:hAnsi="Calibri" w:cs="Calibri"/>
          <w:sz w:val="22"/>
        </w:rPr>
        <w:t xml:space="preserve"> </w:t>
      </w:r>
      <w:r>
        <w:t xml:space="preserve">Acesso ao sistema de saúde (público ou privado). </w:t>
      </w:r>
    </w:p>
    <w:p w:rsidR="00130AB6" w:rsidRDefault="002C7D32">
      <w:pPr>
        <w:spacing w:after="316" w:line="259" w:lineRule="auto"/>
        <w:ind w:left="0" w:right="0" w:firstLine="0"/>
        <w:jc w:val="left"/>
      </w:pPr>
      <w:r>
        <w:t xml:space="preserve"> </w:t>
      </w:r>
    </w:p>
    <w:p w:rsidR="00130AB6" w:rsidRDefault="002C7D32">
      <w:pPr>
        <w:spacing w:after="333" w:line="259" w:lineRule="auto"/>
        <w:ind w:left="-5" w:right="0"/>
        <w:jc w:val="left"/>
      </w:pPr>
      <w:r>
        <w:rPr>
          <w:u w:val="single" w:color="000000"/>
        </w:rPr>
        <w:t>Dependentes</w:t>
      </w:r>
      <w:r>
        <w:t xml:space="preserve"> </w:t>
      </w:r>
    </w:p>
    <w:p w:rsidR="00130AB6" w:rsidRDefault="002C7D32">
      <w:pPr>
        <w:numPr>
          <w:ilvl w:val="0"/>
          <w:numId w:val="1"/>
        </w:numPr>
        <w:ind w:right="167" w:hanging="360"/>
      </w:pPr>
      <w:r>
        <w:t>Método de diagnóstico da Doença Celíaca (dosagem de IgA ou biópsia duodenal em endoscopia); Primeira ma</w:t>
      </w:r>
      <w:r>
        <w:t xml:space="preserve">nifestação da doença (diarreia, flatulência, cólicas abdominais, emagrecimento, dermatite </w:t>
      </w:r>
      <w:proofErr w:type="spellStart"/>
      <w:r>
        <w:t>herpetiforme</w:t>
      </w:r>
      <w:proofErr w:type="spellEnd"/>
      <w:r>
        <w:t>, enxaqueca, dores articulares, anemia ferropriva ou outro); Outros sintomas apresentados (diarreia, flatulência, cólicas abdominais, emagrecimento, derma</w:t>
      </w:r>
      <w:r>
        <w:t xml:space="preserve">tite </w:t>
      </w:r>
      <w:proofErr w:type="spellStart"/>
      <w:r>
        <w:t>herpetiforme</w:t>
      </w:r>
      <w:proofErr w:type="spellEnd"/>
      <w:r>
        <w:t xml:space="preserve">, enxaqueca, dores articulares ou outro); Tempo entre o aparecimento dos sintomas e o diagnóstico de doença celíaca; Idade no </w:t>
      </w:r>
      <w:r>
        <w:lastRenderedPageBreak/>
        <w:t>diagnóstico; Complicações (osteopenia, osteoporose, déficit no crescimento, infertilidade, deficiência de vitamin</w:t>
      </w:r>
      <w:r>
        <w:t>as,  anemia ou outro); Atraso no diagnóstico; Eliminação do glúten na dieta; Hereditariedade da doença (parente de 1º grau, parente de 2º grau ou nenhum); Complicações (osteopenia, osteoporose, déficit no crescimento, infertilidade, deficiência de vitamina</w:t>
      </w:r>
      <w:r>
        <w:t xml:space="preserve">s, anemia ou outro); Comprometimento da qualidade de vida. </w:t>
      </w:r>
    </w:p>
    <w:p w:rsidR="00130AB6" w:rsidRDefault="002C7D32">
      <w:pPr>
        <w:spacing w:after="357" w:line="259" w:lineRule="auto"/>
        <w:ind w:left="0" w:right="0" w:firstLine="0"/>
        <w:jc w:val="left"/>
      </w:pPr>
      <w:r>
        <w:t xml:space="preserve"> </w:t>
      </w:r>
    </w:p>
    <w:p w:rsidR="00130AB6" w:rsidRDefault="002C7D32">
      <w:pPr>
        <w:pStyle w:val="Ttulo2"/>
        <w:ind w:left="388" w:right="0" w:hanging="403"/>
      </w:pPr>
      <w:bookmarkStart w:id="15" w:name="_Toc59547"/>
      <w:r>
        <w:t xml:space="preserve">Aspectos éticos </w:t>
      </w:r>
      <w:bookmarkEnd w:id="15"/>
    </w:p>
    <w:p w:rsidR="00130AB6" w:rsidRDefault="002C7D32">
      <w:pPr>
        <w:ind w:left="-5" w:right="167"/>
      </w:pPr>
      <w:r>
        <w:t>O estudo foi conduzido de acordo com a Resolução nº 466 de 12 de outubro de 2012 do Conselho Nacional de Saúde (CNS) e submetido à apreciação pelo Comitê de Ética em Pesquisa (CEP). As informações obtidas foram utilizadas com fins restritos à pesquisa a qu</w:t>
      </w:r>
      <w:r>
        <w:t>e se destina, garantindo a confidencialidade dos mesmos e anonimato dos participantes. Todos os participantes do estudo assinaram um Termo de Consentimento e foram identificados posteriormente através de números, impossibilitando qualquer identificação. Ap</w:t>
      </w:r>
      <w:r>
        <w:t>ós a análise dos dados, eles permanecerão guardados em local seguro, com o pesquisador principal, e deletados da base de dados no prazo máximo de cinco anos. Os pesquisadores se comprometeram a utilizar as informações obtidas somente para fins acadêmicos e</w:t>
      </w:r>
      <w:r>
        <w:t xml:space="preserve"> sua divulgação exclusivamente em eventos e revistas científicas. </w:t>
      </w:r>
    </w:p>
    <w:p w:rsidR="00130AB6" w:rsidRDefault="002C7D32">
      <w:pPr>
        <w:spacing w:after="315"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0" w:line="259" w:lineRule="auto"/>
        <w:ind w:left="0" w:right="0" w:firstLine="0"/>
        <w:jc w:val="left"/>
      </w:pPr>
      <w:r>
        <w:rPr>
          <w:b/>
        </w:rPr>
        <w:t xml:space="preserve"> </w:t>
      </w:r>
    </w:p>
    <w:p w:rsidR="00130AB6" w:rsidRDefault="002C7D32">
      <w:pPr>
        <w:pStyle w:val="Ttulo1"/>
        <w:spacing w:after="0"/>
        <w:ind w:left="720" w:right="0" w:hanging="360"/>
      </w:pPr>
      <w:bookmarkStart w:id="16" w:name="_Toc59548"/>
      <w:r>
        <w:t xml:space="preserve">RESULTADOS </w:t>
      </w:r>
      <w:bookmarkEnd w:id="16"/>
    </w:p>
    <w:p w:rsidR="00130AB6" w:rsidRDefault="002C7D32">
      <w:pPr>
        <w:spacing w:after="235" w:line="259" w:lineRule="auto"/>
        <w:ind w:left="0" w:right="0" w:firstLine="0"/>
        <w:jc w:val="left"/>
      </w:pPr>
      <w:r>
        <w:rPr>
          <w:rFonts w:ascii="Calibri" w:eastAsia="Calibri" w:hAnsi="Calibri" w:cs="Calibri"/>
          <w:sz w:val="22"/>
        </w:rPr>
        <w:t xml:space="preserve"> </w:t>
      </w:r>
    </w:p>
    <w:p w:rsidR="00130AB6" w:rsidRDefault="002C7D32">
      <w:pPr>
        <w:ind w:left="-5" w:right="167"/>
      </w:pPr>
      <w:r>
        <w:t>O estudo foi realizado através da coleta de dados de uma amostra composta por 102 indivíduos, sendo todos portadores de doença celíaca, maiores de 18 anos e reside</w:t>
      </w:r>
      <w:r>
        <w:t xml:space="preserve">ntes no estado da Bahia, conforme relatado em questionário.  </w:t>
      </w:r>
    </w:p>
    <w:p w:rsidR="00130AB6" w:rsidRDefault="002C7D32">
      <w:pPr>
        <w:spacing w:after="357" w:line="259" w:lineRule="auto"/>
        <w:ind w:left="0" w:right="0" w:firstLine="0"/>
        <w:jc w:val="left"/>
      </w:pPr>
      <w:r>
        <w:lastRenderedPageBreak/>
        <w:t xml:space="preserve"> </w:t>
      </w:r>
    </w:p>
    <w:p w:rsidR="00130AB6" w:rsidRDefault="002C7D32">
      <w:pPr>
        <w:pStyle w:val="Ttulo2"/>
        <w:ind w:left="387" w:right="0" w:hanging="402"/>
      </w:pPr>
      <w:bookmarkStart w:id="17" w:name="_Toc59549"/>
      <w:r>
        <w:t xml:space="preserve">Perfil sociodemográfico </w:t>
      </w:r>
      <w:bookmarkEnd w:id="17"/>
    </w:p>
    <w:p w:rsidR="00130AB6" w:rsidRDefault="002C7D32">
      <w:pPr>
        <w:ind w:left="-5" w:right="167"/>
      </w:pPr>
      <w:r>
        <w:t>No estudo, 94 (92,2%) participantes eram mulheres e 8 (7,8%) eram homens. Quanto a faixa etária, foi observado que 39 (38,2%) pessoas se encontravam na faixa de 40</w:t>
      </w:r>
      <w:r>
        <w:t xml:space="preserve">49 anos e 32 (31,4%) de 30-39 anos. Por fim, a variável raça/cor, avaliada através da </w:t>
      </w:r>
      <w:proofErr w:type="spellStart"/>
      <w:r>
        <w:t>autodeclaração</w:t>
      </w:r>
      <w:proofErr w:type="spellEnd"/>
      <w:r>
        <w:t xml:space="preserve">, apresentou como resultados 47 (46,1%) indivíduos brancos e 41 (40,2%) pardos. Outros dados encontrados estão descritos na tabela abaixo. </w:t>
      </w:r>
    </w:p>
    <w:p w:rsidR="00130AB6" w:rsidRDefault="002C7D32">
      <w:pPr>
        <w:spacing w:after="312" w:line="259" w:lineRule="auto"/>
        <w:ind w:left="0" w:right="0" w:firstLine="0"/>
        <w:jc w:val="left"/>
      </w:pPr>
      <w:r>
        <w:rPr>
          <w:color w:val="FF0000"/>
        </w:rPr>
        <w:t xml:space="preserve"> </w:t>
      </w:r>
    </w:p>
    <w:p w:rsidR="00130AB6" w:rsidRDefault="002C7D32">
      <w:pPr>
        <w:spacing w:after="4" w:line="250" w:lineRule="auto"/>
        <w:ind w:left="-5" w:right="0"/>
        <w:jc w:val="left"/>
      </w:pPr>
      <w:r>
        <w:rPr>
          <w:b/>
          <w:sz w:val="20"/>
        </w:rPr>
        <w:t>Tabela 1:</w:t>
      </w:r>
      <w:r>
        <w:rPr>
          <w:sz w:val="20"/>
        </w:rPr>
        <w:t xml:space="preserve"> Perf</w:t>
      </w:r>
      <w:r>
        <w:rPr>
          <w:sz w:val="20"/>
        </w:rPr>
        <w:t>il sociodemográfico dos portadores de doença celíaca residentes na Bahia em 2023.</w:t>
      </w:r>
      <w:r>
        <w:t xml:space="preserve"> </w:t>
      </w:r>
    </w:p>
    <w:tbl>
      <w:tblPr>
        <w:tblStyle w:val="TableGrid"/>
        <w:tblW w:w="9282" w:type="dxa"/>
        <w:tblInd w:w="55" w:type="dxa"/>
        <w:tblCellMar>
          <w:top w:w="0" w:type="dxa"/>
          <w:left w:w="0" w:type="dxa"/>
          <w:bottom w:w="4" w:type="dxa"/>
          <w:right w:w="365" w:type="dxa"/>
        </w:tblCellMar>
        <w:tblLook w:val="04A0" w:firstRow="1" w:lastRow="0" w:firstColumn="1" w:lastColumn="0" w:noHBand="0" w:noVBand="1"/>
      </w:tblPr>
      <w:tblGrid>
        <w:gridCol w:w="2557"/>
        <w:gridCol w:w="4209"/>
        <w:gridCol w:w="1527"/>
        <w:gridCol w:w="989"/>
      </w:tblGrid>
      <w:tr w:rsidR="00130AB6">
        <w:trPr>
          <w:trHeight w:val="286"/>
        </w:trPr>
        <w:tc>
          <w:tcPr>
            <w:tcW w:w="2557" w:type="dxa"/>
            <w:tcBorders>
              <w:top w:val="single" w:sz="4" w:space="0" w:color="000000"/>
              <w:left w:val="nil"/>
              <w:bottom w:val="single" w:sz="4" w:space="0" w:color="000000"/>
              <w:right w:val="nil"/>
            </w:tcBorders>
          </w:tcPr>
          <w:p w:rsidR="00130AB6" w:rsidRDefault="00130AB6">
            <w:pPr>
              <w:spacing w:after="160" w:line="259" w:lineRule="auto"/>
              <w:ind w:left="0" w:right="0" w:firstLine="0"/>
              <w:jc w:val="left"/>
            </w:pPr>
          </w:p>
        </w:tc>
        <w:tc>
          <w:tcPr>
            <w:tcW w:w="4210"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Variáveis </w:t>
            </w:r>
          </w:p>
        </w:tc>
        <w:tc>
          <w:tcPr>
            <w:tcW w:w="1527" w:type="dxa"/>
            <w:tcBorders>
              <w:top w:val="single" w:sz="4" w:space="0" w:color="000000"/>
              <w:left w:val="nil"/>
              <w:bottom w:val="single" w:sz="4" w:space="0" w:color="000000"/>
              <w:right w:val="nil"/>
            </w:tcBorders>
          </w:tcPr>
          <w:p w:rsidR="00130AB6" w:rsidRDefault="002C7D32">
            <w:pPr>
              <w:spacing w:after="0" w:line="259" w:lineRule="auto"/>
              <w:ind w:left="127" w:right="0" w:firstLine="0"/>
              <w:jc w:val="left"/>
            </w:pPr>
            <w:r>
              <w:rPr>
                <w:b/>
              </w:rPr>
              <w:t xml:space="preserve">n </w:t>
            </w:r>
          </w:p>
        </w:tc>
        <w:tc>
          <w:tcPr>
            <w:tcW w:w="989" w:type="dxa"/>
            <w:tcBorders>
              <w:top w:val="single" w:sz="4" w:space="0" w:color="000000"/>
              <w:left w:val="nil"/>
              <w:bottom w:val="single" w:sz="4" w:space="0" w:color="000000"/>
              <w:right w:val="nil"/>
            </w:tcBorders>
          </w:tcPr>
          <w:p w:rsidR="00130AB6" w:rsidRDefault="002C7D32">
            <w:pPr>
              <w:spacing w:after="0" w:line="259" w:lineRule="auto"/>
              <w:ind w:left="127" w:right="0" w:firstLine="0"/>
              <w:jc w:val="left"/>
            </w:pPr>
            <w:r>
              <w:rPr>
                <w:b/>
              </w:rPr>
              <w:t xml:space="preserve">% </w:t>
            </w:r>
          </w:p>
        </w:tc>
      </w:tr>
      <w:tr w:rsidR="00130AB6">
        <w:trPr>
          <w:trHeight w:val="561"/>
        </w:trPr>
        <w:tc>
          <w:tcPr>
            <w:tcW w:w="2557" w:type="dxa"/>
            <w:tcBorders>
              <w:top w:val="single" w:sz="4" w:space="0" w:color="000000"/>
              <w:left w:val="nil"/>
              <w:bottom w:val="nil"/>
              <w:right w:val="nil"/>
            </w:tcBorders>
          </w:tcPr>
          <w:p w:rsidR="00130AB6" w:rsidRDefault="002C7D32">
            <w:pPr>
              <w:spacing w:after="0" w:line="259" w:lineRule="auto"/>
              <w:ind w:left="84" w:right="0" w:firstLine="0"/>
              <w:jc w:val="left"/>
            </w:pPr>
            <w:r>
              <w:rPr>
                <w:b/>
              </w:rPr>
              <w:t xml:space="preserve">Sexo </w:t>
            </w:r>
          </w:p>
          <w:p w:rsidR="00130AB6" w:rsidRDefault="002C7D32">
            <w:pPr>
              <w:spacing w:after="0" w:line="259" w:lineRule="auto"/>
              <w:ind w:left="1044" w:right="0" w:firstLine="0"/>
              <w:jc w:val="left"/>
            </w:pPr>
            <w:r>
              <w:t xml:space="preserve">Feminino </w:t>
            </w:r>
          </w:p>
        </w:tc>
        <w:tc>
          <w:tcPr>
            <w:tcW w:w="4210" w:type="dxa"/>
            <w:tcBorders>
              <w:top w:val="single" w:sz="4" w:space="0" w:color="000000"/>
              <w:left w:val="nil"/>
              <w:bottom w:val="nil"/>
              <w:right w:val="nil"/>
            </w:tcBorders>
          </w:tcPr>
          <w:p w:rsidR="00130AB6" w:rsidRDefault="002C7D32">
            <w:pPr>
              <w:spacing w:after="0" w:line="259" w:lineRule="auto"/>
              <w:ind w:left="0" w:right="108" w:firstLine="0"/>
              <w:jc w:val="right"/>
            </w:pPr>
            <w:r>
              <w:rPr>
                <w:b/>
              </w:rPr>
              <w:t xml:space="preserve"> </w:t>
            </w:r>
          </w:p>
        </w:tc>
        <w:tc>
          <w:tcPr>
            <w:tcW w:w="1527" w:type="dxa"/>
            <w:tcBorders>
              <w:top w:val="single" w:sz="4" w:space="0" w:color="000000"/>
              <w:left w:val="nil"/>
              <w:bottom w:val="nil"/>
              <w:right w:val="nil"/>
            </w:tcBorders>
          </w:tcPr>
          <w:p w:rsidR="00130AB6" w:rsidRDefault="002C7D32">
            <w:pPr>
              <w:spacing w:after="0" w:line="259" w:lineRule="auto"/>
              <w:ind w:left="1066" w:right="0" w:firstLine="0"/>
              <w:jc w:val="center"/>
            </w:pPr>
            <w:r>
              <w:t xml:space="preserve"> </w:t>
            </w:r>
          </w:p>
          <w:p w:rsidR="00130AB6" w:rsidRDefault="002C7D32">
            <w:pPr>
              <w:spacing w:after="0" w:line="259" w:lineRule="auto"/>
              <w:ind w:left="67" w:right="0" w:firstLine="0"/>
              <w:jc w:val="left"/>
            </w:pPr>
            <w:r>
              <w:t xml:space="preserve">94 </w:t>
            </w:r>
          </w:p>
        </w:tc>
        <w:tc>
          <w:tcPr>
            <w:tcW w:w="989" w:type="dxa"/>
            <w:tcBorders>
              <w:top w:val="single" w:sz="4" w:space="0" w:color="000000"/>
              <w:left w:val="nil"/>
              <w:bottom w:val="nil"/>
              <w:right w:val="nil"/>
            </w:tcBorders>
            <w:vAlign w:val="bottom"/>
          </w:tcPr>
          <w:p w:rsidR="00130AB6" w:rsidRDefault="002C7D32">
            <w:pPr>
              <w:spacing w:after="0" w:line="259" w:lineRule="auto"/>
              <w:ind w:left="0" w:right="0" w:firstLine="0"/>
              <w:jc w:val="left"/>
            </w:pPr>
            <w:r>
              <w:t xml:space="preserve">92,2 </w:t>
            </w:r>
          </w:p>
        </w:tc>
      </w:tr>
      <w:tr w:rsidR="00130AB6">
        <w:trPr>
          <w:trHeight w:val="402"/>
        </w:trPr>
        <w:tc>
          <w:tcPr>
            <w:tcW w:w="2557" w:type="dxa"/>
            <w:tcBorders>
              <w:top w:val="nil"/>
              <w:left w:val="nil"/>
              <w:bottom w:val="nil"/>
              <w:right w:val="nil"/>
            </w:tcBorders>
          </w:tcPr>
          <w:p w:rsidR="00130AB6" w:rsidRDefault="002C7D32">
            <w:pPr>
              <w:spacing w:after="0" w:line="259" w:lineRule="auto"/>
              <w:ind w:left="1044" w:right="0" w:firstLine="0"/>
              <w:jc w:val="left"/>
            </w:pPr>
            <w:r>
              <w:t xml:space="preserve">Masculino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132" w:right="0" w:firstLine="0"/>
              <w:jc w:val="left"/>
            </w:pPr>
            <w:r>
              <w:t xml:space="preserve">8 </w:t>
            </w:r>
          </w:p>
        </w:tc>
        <w:tc>
          <w:tcPr>
            <w:tcW w:w="989" w:type="dxa"/>
            <w:tcBorders>
              <w:top w:val="nil"/>
              <w:left w:val="nil"/>
              <w:bottom w:val="nil"/>
              <w:right w:val="nil"/>
            </w:tcBorders>
          </w:tcPr>
          <w:p w:rsidR="00130AB6" w:rsidRDefault="002C7D32">
            <w:pPr>
              <w:spacing w:after="0" w:line="259" w:lineRule="auto"/>
              <w:ind w:left="67" w:right="0" w:firstLine="0"/>
              <w:jc w:val="left"/>
            </w:pPr>
            <w:r>
              <w:t xml:space="preserve">7,8 </w:t>
            </w:r>
          </w:p>
        </w:tc>
      </w:tr>
      <w:tr w:rsidR="00130AB6">
        <w:trPr>
          <w:trHeight w:val="678"/>
        </w:trPr>
        <w:tc>
          <w:tcPr>
            <w:tcW w:w="2557" w:type="dxa"/>
            <w:tcBorders>
              <w:top w:val="nil"/>
              <w:left w:val="nil"/>
              <w:bottom w:val="nil"/>
              <w:right w:val="nil"/>
            </w:tcBorders>
            <w:vAlign w:val="bottom"/>
          </w:tcPr>
          <w:p w:rsidR="00130AB6" w:rsidRDefault="002C7D32">
            <w:pPr>
              <w:spacing w:after="0" w:line="259" w:lineRule="auto"/>
              <w:ind w:left="1044" w:right="11" w:hanging="960"/>
              <w:jc w:val="left"/>
            </w:pPr>
            <w:r>
              <w:rPr>
                <w:b/>
              </w:rPr>
              <w:t xml:space="preserve">Idade (anos) </w:t>
            </w:r>
            <w:r>
              <w:t xml:space="preserve">18-29  </w:t>
            </w:r>
          </w:p>
        </w:tc>
        <w:tc>
          <w:tcPr>
            <w:tcW w:w="4210" w:type="dxa"/>
            <w:tcBorders>
              <w:top w:val="nil"/>
              <w:left w:val="nil"/>
              <w:bottom w:val="nil"/>
              <w:right w:val="nil"/>
            </w:tcBorders>
          </w:tcPr>
          <w:p w:rsidR="00130AB6" w:rsidRDefault="002C7D32">
            <w:pPr>
              <w:spacing w:after="0" w:line="259" w:lineRule="auto"/>
              <w:ind w:left="420" w:right="0" w:firstLine="0"/>
              <w:jc w:val="center"/>
            </w:pPr>
            <w:r>
              <w:t xml:space="preserve"> </w:t>
            </w:r>
            <w:r>
              <w:tab/>
              <w:t xml:space="preserve"> </w:t>
            </w:r>
          </w:p>
          <w:p w:rsidR="00130AB6" w:rsidRDefault="002C7D32">
            <w:pPr>
              <w:spacing w:after="0" w:line="259" w:lineRule="auto"/>
              <w:ind w:left="0" w:right="108" w:firstLine="0"/>
              <w:jc w:val="right"/>
            </w:pPr>
            <w:r>
              <w:rPr>
                <w:b/>
              </w:rPr>
              <w:t xml:space="preserve"> </w:t>
            </w:r>
          </w:p>
        </w:tc>
        <w:tc>
          <w:tcPr>
            <w:tcW w:w="1527" w:type="dxa"/>
            <w:tcBorders>
              <w:top w:val="nil"/>
              <w:left w:val="nil"/>
              <w:bottom w:val="nil"/>
              <w:right w:val="nil"/>
            </w:tcBorders>
          </w:tcPr>
          <w:p w:rsidR="00130AB6" w:rsidRDefault="002C7D32">
            <w:pPr>
              <w:spacing w:after="0" w:line="259" w:lineRule="auto"/>
              <w:ind w:left="1066" w:right="0" w:firstLine="0"/>
              <w:jc w:val="center"/>
            </w:pPr>
            <w:r>
              <w:t xml:space="preserve"> </w:t>
            </w:r>
          </w:p>
          <w:p w:rsidR="00130AB6" w:rsidRDefault="002C7D32">
            <w:pPr>
              <w:spacing w:after="0" w:line="259" w:lineRule="auto"/>
              <w:ind w:left="1066" w:right="0" w:firstLine="0"/>
              <w:jc w:val="center"/>
            </w:pPr>
            <w:r>
              <w:t xml:space="preserve"> </w:t>
            </w:r>
          </w:p>
          <w:p w:rsidR="00130AB6" w:rsidRDefault="002C7D32">
            <w:pPr>
              <w:spacing w:after="0" w:line="259" w:lineRule="auto"/>
              <w:ind w:left="67" w:right="0" w:firstLine="0"/>
              <w:jc w:val="left"/>
            </w:pPr>
            <w:r>
              <w:t xml:space="preserve">15 </w:t>
            </w:r>
          </w:p>
        </w:tc>
        <w:tc>
          <w:tcPr>
            <w:tcW w:w="989" w:type="dxa"/>
            <w:tcBorders>
              <w:top w:val="nil"/>
              <w:left w:val="nil"/>
              <w:bottom w:val="nil"/>
              <w:right w:val="nil"/>
            </w:tcBorders>
            <w:vAlign w:val="bottom"/>
          </w:tcPr>
          <w:p w:rsidR="00130AB6" w:rsidRDefault="002C7D32">
            <w:pPr>
              <w:spacing w:after="0" w:line="259" w:lineRule="auto"/>
              <w:ind w:left="0" w:right="0" w:firstLine="0"/>
              <w:jc w:val="left"/>
            </w:pPr>
            <w:r>
              <w:t xml:space="preserve">14,7 </w:t>
            </w:r>
          </w:p>
        </w:tc>
      </w:tr>
      <w:tr w:rsidR="00130AB6">
        <w:trPr>
          <w:trHeight w:val="276"/>
        </w:trPr>
        <w:tc>
          <w:tcPr>
            <w:tcW w:w="2557" w:type="dxa"/>
            <w:tcBorders>
              <w:top w:val="nil"/>
              <w:left w:val="nil"/>
              <w:bottom w:val="nil"/>
              <w:right w:val="nil"/>
            </w:tcBorders>
          </w:tcPr>
          <w:p w:rsidR="00130AB6" w:rsidRDefault="002C7D32">
            <w:pPr>
              <w:spacing w:after="0" w:line="259" w:lineRule="auto"/>
              <w:ind w:left="513" w:right="0" w:firstLine="0"/>
              <w:jc w:val="center"/>
            </w:pPr>
            <w:r>
              <w:t xml:space="preserve">30-39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67" w:right="0" w:firstLine="0"/>
              <w:jc w:val="left"/>
            </w:pPr>
            <w:r>
              <w:t xml:space="preserve">32 </w:t>
            </w:r>
          </w:p>
        </w:tc>
        <w:tc>
          <w:tcPr>
            <w:tcW w:w="989" w:type="dxa"/>
            <w:tcBorders>
              <w:top w:val="nil"/>
              <w:left w:val="nil"/>
              <w:bottom w:val="nil"/>
              <w:right w:val="nil"/>
            </w:tcBorders>
          </w:tcPr>
          <w:p w:rsidR="00130AB6" w:rsidRDefault="002C7D32">
            <w:pPr>
              <w:spacing w:after="0" w:line="259" w:lineRule="auto"/>
              <w:ind w:left="0" w:right="0" w:firstLine="0"/>
              <w:jc w:val="left"/>
            </w:pPr>
            <w:r>
              <w:t xml:space="preserve">31,4 </w:t>
            </w:r>
          </w:p>
        </w:tc>
      </w:tr>
      <w:tr w:rsidR="00130AB6">
        <w:trPr>
          <w:trHeight w:val="276"/>
        </w:trPr>
        <w:tc>
          <w:tcPr>
            <w:tcW w:w="2557" w:type="dxa"/>
            <w:tcBorders>
              <w:top w:val="nil"/>
              <w:left w:val="nil"/>
              <w:bottom w:val="nil"/>
              <w:right w:val="nil"/>
            </w:tcBorders>
          </w:tcPr>
          <w:p w:rsidR="00130AB6" w:rsidRDefault="002C7D32">
            <w:pPr>
              <w:spacing w:after="0" w:line="259" w:lineRule="auto"/>
              <w:ind w:left="513" w:right="0" w:firstLine="0"/>
              <w:jc w:val="center"/>
            </w:pPr>
            <w:r>
              <w:t xml:space="preserve">40-49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67" w:right="0" w:firstLine="0"/>
              <w:jc w:val="left"/>
            </w:pPr>
            <w:r>
              <w:t xml:space="preserve">39 </w:t>
            </w:r>
          </w:p>
        </w:tc>
        <w:tc>
          <w:tcPr>
            <w:tcW w:w="989" w:type="dxa"/>
            <w:tcBorders>
              <w:top w:val="nil"/>
              <w:left w:val="nil"/>
              <w:bottom w:val="nil"/>
              <w:right w:val="nil"/>
            </w:tcBorders>
          </w:tcPr>
          <w:p w:rsidR="00130AB6" w:rsidRDefault="002C7D32">
            <w:pPr>
              <w:spacing w:after="0" w:line="259" w:lineRule="auto"/>
              <w:ind w:left="0" w:right="0" w:firstLine="0"/>
              <w:jc w:val="left"/>
            </w:pPr>
            <w:r>
              <w:t xml:space="preserve">38,2 </w:t>
            </w:r>
          </w:p>
        </w:tc>
      </w:tr>
      <w:tr w:rsidR="00130AB6">
        <w:trPr>
          <w:trHeight w:val="276"/>
        </w:trPr>
        <w:tc>
          <w:tcPr>
            <w:tcW w:w="2557" w:type="dxa"/>
            <w:tcBorders>
              <w:top w:val="nil"/>
              <w:left w:val="nil"/>
              <w:bottom w:val="nil"/>
              <w:right w:val="nil"/>
            </w:tcBorders>
          </w:tcPr>
          <w:p w:rsidR="00130AB6" w:rsidRDefault="002C7D32">
            <w:pPr>
              <w:spacing w:after="0" w:line="259" w:lineRule="auto"/>
              <w:ind w:left="513" w:right="0" w:firstLine="0"/>
              <w:jc w:val="center"/>
            </w:pPr>
            <w:r>
              <w:t xml:space="preserve">50-59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67" w:right="0" w:firstLine="0"/>
              <w:jc w:val="left"/>
            </w:pPr>
            <w:r>
              <w:t xml:space="preserve">10 </w:t>
            </w:r>
          </w:p>
        </w:tc>
        <w:tc>
          <w:tcPr>
            <w:tcW w:w="989" w:type="dxa"/>
            <w:tcBorders>
              <w:top w:val="nil"/>
              <w:left w:val="nil"/>
              <w:bottom w:val="nil"/>
              <w:right w:val="nil"/>
            </w:tcBorders>
          </w:tcPr>
          <w:p w:rsidR="00130AB6" w:rsidRDefault="002C7D32">
            <w:pPr>
              <w:spacing w:after="0" w:line="259" w:lineRule="auto"/>
              <w:ind w:left="67" w:right="0" w:firstLine="0"/>
              <w:jc w:val="left"/>
            </w:pPr>
            <w:r>
              <w:t xml:space="preserve">9,8 </w:t>
            </w:r>
          </w:p>
        </w:tc>
      </w:tr>
      <w:tr w:rsidR="00130AB6">
        <w:trPr>
          <w:trHeight w:val="402"/>
        </w:trPr>
        <w:tc>
          <w:tcPr>
            <w:tcW w:w="2557" w:type="dxa"/>
            <w:tcBorders>
              <w:top w:val="nil"/>
              <w:left w:val="nil"/>
              <w:bottom w:val="nil"/>
              <w:right w:val="nil"/>
            </w:tcBorders>
          </w:tcPr>
          <w:p w:rsidR="00130AB6" w:rsidRDefault="002C7D32">
            <w:pPr>
              <w:spacing w:after="0" w:line="259" w:lineRule="auto"/>
              <w:ind w:left="371" w:right="0" w:firstLine="0"/>
              <w:jc w:val="center"/>
            </w:pPr>
            <w:r>
              <w:t xml:space="preserve">&gt; 60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132" w:right="0" w:firstLine="0"/>
              <w:jc w:val="left"/>
            </w:pPr>
            <w:r>
              <w:t xml:space="preserve">6 </w:t>
            </w:r>
          </w:p>
        </w:tc>
        <w:tc>
          <w:tcPr>
            <w:tcW w:w="989" w:type="dxa"/>
            <w:tcBorders>
              <w:top w:val="nil"/>
              <w:left w:val="nil"/>
              <w:bottom w:val="nil"/>
              <w:right w:val="nil"/>
            </w:tcBorders>
          </w:tcPr>
          <w:p w:rsidR="00130AB6" w:rsidRDefault="002C7D32">
            <w:pPr>
              <w:spacing w:after="0" w:line="259" w:lineRule="auto"/>
              <w:ind w:left="67" w:right="0" w:firstLine="0"/>
              <w:jc w:val="left"/>
            </w:pPr>
            <w:r>
              <w:t xml:space="preserve">5,9 </w:t>
            </w:r>
          </w:p>
        </w:tc>
      </w:tr>
      <w:tr w:rsidR="00130AB6">
        <w:trPr>
          <w:trHeight w:val="678"/>
        </w:trPr>
        <w:tc>
          <w:tcPr>
            <w:tcW w:w="2557" w:type="dxa"/>
            <w:tcBorders>
              <w:top w:val="nil"/>
              <w:left w:val="nil"/>
              <w:bottom w:val="nil"/>
              <w:right w:val="nil"/>
            </w:tcBorders>
            <w:vAlign w:val="bottom"/>
          </w:tcPr>
          <w:p w:rsidR="00130AB6" w:rsidRDefault="002C7D32">
            <w:pPr>
              <w:spacing w:after="0" w:line="259" w:lineRule="auto"/>
              <w:ind w:left="1044" w:right="225" w:hanging="960"/>
              <w:jc w:val="left"/>
            </w:pPr>
            <w:r>
              <w:rPr>
                <w:b/>
              </w:rPr>
              <w:t xml:space="preserve">Cor/Raça </w:t>
            </w:r>
            <w:r>
              <w:t xml:space="preserve">Branco </w:t>
            </w:r>
          </w:p>
        </w:tc>
        <w:tc>
          <w:tcPr>
            <w:tcW w:w="4210" w:type="dxa"/>
            <w:tcBorders>
              <w:top w:val="nil"/>
              <w:left w:val="nil"/>
              <w:bottom w:val="nil"/>
              <w:right w:val="nil"/>
            </w:tcBorders>
          </w:tcPr>
          <w:p w:rsidR="00130AB6" w:rsidRDefault="002C7D32">
            <w:pPr>
              <w:spacing w:after="0" w:line="259" w:lineRule="auto"/>
              <w:ind w:left="420" w:right="0" w:firstLine="0"/>
              <w:jc w:val="center"/>
            </w:pPr>
            <w:r>
              <w:t xml:space="preserve"> </w:t>
            </w:r>
            <w:r>
              <w:tab/>
              <w:t xml:space="preserve"> </w:t>
            </w:r>
          </w:p>
          <w:p w:rsidR="00130AB6" w:rsidRDefault="002C7D32">
            <w:pPr>
              <w:spacing w:after="0" w:line="259" w:lineRule="auto"/>
              <w:ind w:left="0" w:right="108" w:firstLine="0"/>
              <w:jc w:val="right"/>
            </w:pPr>
            <w:r>
              <w:rPr>
                <w:b/>
              </w:rPr>
              <w:t xml:space="preserve"> </w:t>
            </w:r>
          </w:p>
        </w:tc>
        <w:tc>
          <w:tcPr>
            <w:tcW w:w="1527" w:type="dxa"/>
            <w:tcBorders>
              <w:top w:val="nil"/>
              <w:left w:val="nil"/>
              <w:bottom w:val="nil"/>
              <w:right w:val="nil"/>
            </w:tcBorders>
          </w:tcPr>
          <w:p w:rsidR="00130AB6" w:rsidRDefault="002C7D32">
            <w:pPr>
              <w:spacing w:after="0" w:line="259" w:lineRule="auto"/>
              <w:ind w:left="1066" w:right="0" w:firstLine="0"/>
              <w:jc w:val="center"/>
            </w:pPr>
            <w:r>
              <w:t xml:space="preserve"> </w:t>
            </w:r>
          </w:p>
          <w:p w:rsidR="00130AB6" w:rsidRDefault="002C7D32">
            <w:pPr>
              <w:spacing w:after="0" w:line="259" w:lineRule="auto"/>
              <w:ind w:left="1066" w:right="0" w:firstLine="0"/>
              <w:jc w:val="center"/>
            </w:pPr>
            <w:r>
              <w:t xml:space="preserve"> </w:t>
            </w:r>
          </w:p>
          <w:p w:rsidR="00130AB6" w:rsidRDefault="002C7D32">
            <w:pPr>
              <w:spacing w:after="0" w:line="259" w:lineRule="auto"/>
              <w:ind w:left="67" w:right="0" w:firstLine="0"/>
              <w:jc w:val="left"/>
            </w:pPr>
            <w:r>
              <w:t xml:space="preserve">47 </w:t>
            </w:r>
          </w:p>
        </w:tc>
        <w:tc>
          <w:tcPr>
            <w:tcW w:w="989" w:type="dxa"/>
            <w:tcBorders>
              <w:top w:val="nil"/>
              <w:left w:val="nil"/>
              <w:bottom w:val="nil"/>
              <w:right w:val="nil"/>
            </w:tcBorders>
            <w:vAlign w:val="bottom"/>
          </w:tcPr>
          <w:p w:rsidR="00130AB6" w:rsidRDefault="002C7D32">
            <w:pPr>
              <w:spacing w:after="0" w:line="259" w:lineRule="auto"/>
              <w:ind w:left="0" w:right="0" w:firstLine="0"/>
              <w:jc w:val="left"/>
            </w:pPr>
            <w:r>
              <w:t xml:space="preserve">46,1 </w:t>
            </w:r>
          </w:p>
        </w:tc>
      </w:tr>
      <w:tr w:rsidR="00130AB6">
        <w:trPr>
          <w:trHeight w:val="276"/>
        </w:trPr>
        <w:tc>
          <w:tcPr>
            <w:tcW w:w="2557" w:type="dxa"/>
            <w:tcBorders>
              <w:top w:val="nil"/>
              <w:left w:val="nil"/>
              <w:bottom w:val="nil"/>
              <w:right w:val="nil"/>
            </w:tcBorders>
          </w:tcPr>
          <w:p w:rsidR="00130AB6" w:rsidRDefault="002C7D32">
            <w:pPr>
              <w:spacing w:after="0" w:line="259" w:lineRule="auto"/>
              <w:ind w:left="471" w:right="0" w:firstLine="0"/>
              <w:jc w:val="center"/>
            </w:pPr>
            <w:r>
              <w:t xml:space="preserve">Preto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67" w:right="0" w:firstLine="0"/>
              <w:jc w:val="left"/>
            </w:pPr>
            <w:r>
              <w:t xml:space="preserve">10 </w:t>
            </w:r>
          </w:p>
        </w:tc>
        <w:tc>
          <w:tcPr>
            <w:tcW w:w="989" w:type="dxa"/>
            <w:tcBorders>
              <w:top w:val="nil"/>
              <w:left w:val="nil"/>
              <w:bottom w:val="nil"/>
              <w:right w:val="nil"/>
            </w:tcBorders>
          </w:tcPr>
          <w:p w:rsidR="00130AB6" w:rsidRDefault="002C7D32">
            <w:pPr>
              <w:spacing w:after="0" w:line="259" w:lineRule="auto"/>
              <w:ind w:left="67" w:right="0" w:firstLine="0"/>
              <w:jc w:val="left"/>
            </w:pPr>
            <w:r>
              <w:t xml:space="preserve">9,8 </w:t>
            </w:r>
          </w:p>
        </w:tc>
      </w:tr>
      <w:tr w:rsidR="00130AB6">
        <w:trPr>
          <w:trHeight w:val="276"/>
        </w:trPr>
        <w:tc>
          <w:tcPr>
            <w:tcW w:w="2557" w:type="dxa"/>
            <w:tcBorders>
              <w:top w:val="nil"/>
              <w:left w:val="nil"/>
              <w:bottom w:val="nil"/>
              <w:right w:val="nil"/>
            </w:tcBorders>
          </w:tcPr>
          <w:p w:rsidR="00130AB6" w:rsidRDefault="002C7D32">
            <w:pPr>
              <w:spacing w:after="0" w:line="259" w:lineRule="auto"/>
              <w:ind w:left="538" w:right="0" w:firstLine="0"/>
              <w:jc w:val="center"/>
            </w:pPr>
            <w:r>
              <w:t xml:space="preserve">Pardo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67" w:right="0" w:firstLine="0"/>
              <w:jc w:val="left"/>
            </w:pPr>
            <w:r>
              <w:t xml:space="preserve">41 </w:t>
            </w:r>
          </w:p>
        </w:tc>
        <w:tc>
          <w:tcPr>
            <w:tcW w:w="989" w:type="dxa"/>
            <w:tcBorders>
              <w:top w:val="nil"/>
              <w:left w:val="nil"/>
              <w:bottom w:val="nil"/>
              <w:right w:val="nil"/>
            </w:tcBorders>
          </w:tcPr>
          <w:p w:rsidR="00130AB6" w:rsidRDefault="002C7D32">
            <w:pPr>
              <w:spacing w:after="0" w:line="259" w:lineRule="auto"/>
              <w:ind w:left="0" w:right="0" w:firstLine="0"/>
              <w:jc w:val="left"/>
            </w:pPr>
            <w:r>
              <w:t xml:space="preserve">40,2 </w:t>
            </w:r>
          </w:p>
        </w:tc>
      </w:tr>
      <w:tr w:rsidR="00130AB6">
        <w:trPr>
          <w:trHeight w:val="276"/>
        </w:trPr>
        <w:tc>
          <w:tcPr>
            <w:tcW w:w="2557" w:type="dxa"/>
            <w:tcBorders>
              <w:top w:val="nil"/>
              <w:left w:val="nil"/>
              <w:bottom w:val="nil"/>
              <w:right w:val="nil"/>
            </w:tcBorders>
          </w:tcPr>
          <w:p w:rsidR="00130AB6" w:rsidRDefault="002C7D32">
            <w:pPr>
              <w:spacing w:after="0" w:line="259" w:lineRule="auto"/>
              <w:ind w:left="790" w:right="0" w:firstLine="0"/>
              <w:jc w:val="center"/>
            </w:pPr>
            <w:r>
              <w:t xml:space="preserve">Amarelo </w:t>
            </w:r>
          </w:p>
        </w:tc>
        <w:tc>
          <w:tcPr>
            <w:tcW w:w="4210" w:type="dxa"/>
            <w:tcBorders>
              <w:top w:val="nil"/>
              <w:left w:val="nil"/>
              <w:bottom w:val="nil"/>
              <w:right w:val="nil"/>
            </w:tcBorders>
          </w:tcPr>
          <w:p w:rsidR="00130AB6" w:rsidRDefault="00130AB6">
            <w:pPr>
              <w:spacing w:after="160" w:line="259" w:lineRule="auto"/>
              <w:ind w:left="0" w:right="0" w:firstLine="0"/>
              <w:jc w:val="left"/>
            </w:pPr>
          </w:p>
        </w:tc>
        <w:tc>
          <w:tcPr>
            <w:tcW w:w="1527" w:type="dxa"/>
            <w:tcBorders>
              <w:top w:val="nil"/>
              <w:left w:val="nil"/>
              <w:bottom w:val="nil"/>
              <w:right w:val="nil"/>
            </w:tcBorders>
          </w:tcPr>
          <w:p w:rsidR="00130AB6" w:rsidRDefault="002C7D32">
            <w:pPr>
              <w:spacing w:after="0" w:line="259" w:lineRule="auto"/>
              <w:ind w:left="132" w:right="0" w:firstLine="0"/>
              <w:jc w:val="left"/>
            </w:pPr>
            <w:r>
              <w:t xml:space="preserve">4 </w:t>
            </w:r>
          </w:p>
        </w:tc>
        <w:tc>
          <w:tcPr>
            <w:tcW w:w="989" w:type="dxa"/>
            <w:tcBorders>
              <w:top w:val="nil"/>
              <w:left w:val="nil"/>
              <w:bottom w:val="nil"/>
              <w:right w:val="nil"/>
            </w:tcBorders>
          </w:tcPr>
          <w:p w:rsidR="00130AB6" w:rsidRDefault="002C7D32">
            <w:pPr>
              <w:spacing w:after="0" w:line="259" w:lineRule="auto"/>
              <w:ind w:left="67" w:right="0" w:firstLine="0"/>
              <w:jc w:val="left"/>
            </w:pPr>
            <w:r>
              <w:t xml:space="preserve">3,9 </w:t>
            </w:r>
          </w:p>
        </w:tc>
      </w:tr>
      <w:tr w:rsidR="00130AB6">
        <w:trPr>
          <w:trHeight w:val="277"/>
        </w:trPr>
        <w:tc>
          <w:tcPr>
            <w:tcW w:w="2557" w:type="dxa"/>
            <w:tcBorders>
              <w:top w:val="nil"/>
              <w:left w:val="nil"/>
              <w:bottom w:val="single" w:sz="4" w:space="0" w:color="000000"/>
              <w:right w:val="nil"/>
            </w:tcBorders>
          </w:tcPr>
          <w:p w:rsidR="00130AB6" w:rsidRDefault="002C7D32">
            <w:pPr>
              <w:spacing w:after="0" w:line="259" w:lineRule="auto"/>
              <w:ind w:left="831" w:right="0" w:firstLine="0"/>
              <w:jc w:val="center"/>
            </w:pPr>
            <w:r>
              <w:t xml:space="preserve">Indígena </w:t>
            </w:r>
          </w:p>
        </w:tc>
        <w:tc>
          <w:tcPr>
            <w:tcW w:w="4210" w:type="dxa"/>
            <w:tcBorders>
              <w:top w:val="nil"/>
              <w:left w:val="nil"/>
              <w:bottom w:val="single" w:sz="4" w:space="0" w:color="000000"/>
              <w:right w:val="nil"/>
            </w:tcBorders>
          </w:tcPr>
          <w:p w:rsidR="00130AB6" w:rsidRDefault="00130AB6">
            <w:pPr>
              <w:spacing w:after="160" w:line="259" w:lineRule="auto"/>
              <w:ind w:left="0" w:right="0" w:firstLine="0"/>
              <w:jc w:val="left"/>
            </w:pPr>
          </w:p>
        </w:tc>
        <w:tc>
          <w:tcPr>
            <w:tcW w:w="1527" w:type="dxa"/>
            <w:tcBorders>
              <w:top w:val="nil"/>
              <w:left w:val="nil"/>
              <w:bottom w:val="single" w:sz="4" w:space="0" w:color="000000"/>
              <w:right w:val="nil"/>
            </w:tcBorders>
          </w:tcPr>
          <w:p w:rsidR="00130AB6" w:rsidRDefault="002C7D32">
            <w:pPr>
              <w:spacing w:after="0" w:line="259" w:lineRule="auto"/>
              <w:ind w:left="132" w:right="0" w:firstLine="0"/>
              <w:jc w:val="left"/>
            </w:pPr>
            <w:r>
              <w:t xml:space="preserve">0 </w:t>
            </w:r>
          </w:p>
        </w:tc>
        <w:tc>
          <w:tcPr>
            <w:tcW w:w="989" w:type="dxa"/>
            <w:tcBorders>
              <w:top w:val="nil"/>
              <w:left w:val="nil"/>
              <w:bottom w:val="single" w:sz="4" w:space="0" w:color="000000"/>
              <w:right w:val="nil"/>
            </w:tcBorders>
          </w:tcPr>
          <w:p w:rsidR="00130AB6" w:rsidRDefault="002C7D32">
            <w:pPr>
              <w:spacing w:after="0" w:line="259" w:lineRule="auto"/>
              <w:ind w:left="168" w:right="0" w:firstLine="0"/>
              <w:jc w:val="left"/>
            </w:pPr>
            <w:r>
              <w:t xml:space="preserve">0 </w:t>
            </w:r>
          </w:p>
        </w:tc>
      </w:tr>
      <w:tr w:rsidR="00130AB6">
        <w:trPr>
          <w:trHeight w:val="286"/>
        </w:trPr>
        <w:tc>
          <w:tcPr>
            <w:tcW w:w="2557" w:type="dxa"/>
            <w:tcBorders>
              <w:top w:val="single" w:sz="4" w:space="0" w:color="000000"/>
              <w:left w:val="nil"/>
              <w:bottom w:val="single" w:sz="4" w:space="0" w:color="000000"/>
              <w:right w:val="nil"/>
            </w:tcBorders>
          </w:tcPr>
          <w:p w:rsidR="00130AB6" w:rsidRDefault="00130AB6">
            <w:pPr>
              <w:spacing w:after="160" w:line="259" w:lineRule="auto"/>
              <w:ind w:left="0" w:right="0" w:firstLine="0"/>
              <w:jc w:val="left"/>
            </w:pPr>
          </w:p>
        </w:tc>
        <w:tc>
          <w:tcPr>
            <w:tcW w:w="4210" w:type="dxa"/>
            <w:tcBorders>
              <w:top w:val="single" w:sz="4" w:space="0" w:color="000000"/>
              <w:left w:val="nil"/>
              <w:bottom w:val="single" w:sz="4" w:space="0" w:color="000000"/>
              <w:right w:val="nil"/>
            </w:tcBorders>
          </w:tcPr>
          <w:p w:rsidR="00130AB6" w:rsidRDefault="002C7D32">
            <w:pPr>
              <w:spacing w:after="0" w:line="259" w:lineRule="auto"/>
              <w:ind w:left="127" w:right="0" w:firstLine="0"/>
              <w:jc w:val="left"/>
            </w:pPr>
            <w:r>
              <w:rPr>
                <w:b/>
              </w:rPr>
              <w:t xml:space="preserve">TOTAL </w:t>
            </w:r>
          </w:p>
        </w:tc>
        <w:tc>
          <w:tcPr>
            <w:tcW w:w="1527"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102 </w:t>
            </w:r>
          </w:p>
        </w:tc>
        <w:tc>
          <w:tcPr>
            <w:tcW w:w="989" w:type="dxa"/>
            <w:tcBorders>
              <w:top w:val="single" w:sz="4" w:space="0" w:color="000000"/>
              <w:left w:val="nil"/>
              <w:bottom w:val="single" w:sz="4" w:space="0" w:color="000000"/>
              <w:right w:val="nil"/>
            </w:tcBorders>
          </w:tcPr>
          <w:p w:rsidR="00130AB6" w:rsidRDefault="002C7D32">
            <w:pPr>
              <w:spacing w:after="0" w:line="259" w:lineRule="auto"/>
              <w:ind w:left="34" w:right="0" w:firstLine="0"/>
              <w:jc w:val="left"/>
            </w:pPr>
            <w:r>
              <w:rPr>
                <w:b/>
              </w:rPr>
              <w:t xml:space="preserve">100 </w:t>
            </w:r>
          </w:p>
        </w:tc>
      </w:tr>
    </w:tbl>
    <w:p w:rsidR="00130AB6" w:rsidRDefault="002C7D32">
      <w:pPr>
        <w:spacing w:after="228" w:line="250" w:lineRule="auto"/>
        <w:ind w:left="-5" w:right="0"/>
        <w:jc w:val="left"/>
      </w:pPr>
      <w:r>
        <w:rPr>
          <w:sz w:val="20"/>
        </w:rPr>
        <w:t xml:space="preserve">Fonte: Elaborado pelo autor (2023). </w:t>
      </w:r>
    </w:p>
    <w:p w:rsidR="00130AB6" w:rsidRDefault="002C7D32">
      <w:pPr>
        <w:spacing w:after="316" w:line="259" w:lineRule="auto"/>
        <w:ind w:left="0" w:right="0" w:firstLine="0"/>
        <w:jc w:val="left"/>
      </w:pPr>
      <w:r>
        <w:t xml:space="preserve"> </w:t>
      </w:r>
    </w:p>
    <w:p w:rsidR="00130AB6" w:rsidRDefault="002C7D32">
      <w:pPr>
        <w:spacing w:after="156"/>
        <w:ind w:left="-5" w:right="167"/>
      </w:pPr>
      <w:r>
        <w:t xml:space="preserve">Em relação aos locais de procedência dos participantes, Salvador </w:t>
      </w:r>
      <w:r>
        <w:t xml:space="preserve">teve a maior prevalência, totalizando 82 (80,4%) habitantes da capital. Em sequência, observou-se 3 (2,9%) residentes de Itabuna e 2 (2%) habitantes em Camaçari, Jequié e Feira de </w:t>
      </w:r>
      <w:r>
        <w:lastRenderedPageBreak/>
        <w:t>Santana, respectivamente. Os outros municípios demonstrados na tabela abaixo</w:t>
      </w:r>
      <w:r>
        <w:t xml:space="preserve"> totalizaram 1 (1%) pessoa em cada. </w:t>
      </w:r>
    </w:p>
    <w:p w:rsidR="00130AB6" w:rsidRDefault="002C7D32">
      <w:pPr>
        <w:spacing w:after="297" w:line="259" w:lineRule="auto"/>
        <w:ind w:left="0" w:right="0" w:firstLine="0"/>
        <w:jc w:val="left"/>
      </w:pPr>
      <w:r>
        <w:rPr>
          <w:sz w:val="20"/>
        </w:rPr>
        <w:t xml:space="preserve"> </w:t>
      </w:r>
    </w:p>
    <w:p w:rsidR="00130AB6" w:rsidRDefault="002C7D32">
      <w:pPr>
        <w:spacing w:after="4" w:line="250" w:lineRule="auto"/>
        <w:ind w:left="-5" w:right="0"/>
        <w:jc w:val="left"/>
      </w:pPr>
      <w:r>
        <w:rPr>
          <w:b/>
          <w:sz w:val="20"/>
        </w:rPr>
        <w:t>Gráfico 1:</w:t>
      </w:r>
      <w:r>
        <w:rPr>
          <w:sz w:val="20"/>
        </w:rPr>
        <w:t xml:space="preserve"> Locais de procedência dos portadores de doença celíaca no estado da Bahia em 2023. </w:t>
      </w:r>
    </w:p>
    <w:p w:rsidR="00130AB6" w:rsidRDefault="002C7D32">
      <w:pPr>
        <w:spacing w:after="209" w:line="259" w:lineRule="auto"/>
        <w:ind w:left="-19" w:right="0" w:firstLine="0"/>
        <w:jc w:val="left"/>
      </w:pPr>
      <w:r>
        <w:rPr>
          <w:noProof/>
        </w:rPr>
        <w:drawing>
          <wp:inline distT="0" distB="0" distL="0" distR="0">
            <wp:extent cx="5791201" cy="3438144"/>
            <wp:effectExtent l="0" t="0" r="0" b="0"/>
            <wp:docPr id="58020" name="Picture 58020"/>
            <wp:cNvGraphicFramePr/>
            <a:graphic xmlns:a="http://schemas.openxmlformats.org/drawingml/2006/main">
              <a:graphicData uri="http://schemas.openxmlformats.org/drawingml/2006/picture">
                <pic:pic xmlns:pic="http://schemas.openxmlformats.org/drawingml/2006/picture">
                  <pic:nvPicPr>
                    <pic:cNvPr id="58020" name="Picture 58020"/>
                    <pic:cNvPicPr/>
                  </pic:nvPicPr>
                  <pic:blipFill>
                    <a:blip r:embed="rId11"/>
                    <a:stretch>
                      <a:fillRect/>
                    </a:stretch>
                  </pic:blipFill>
                  <pic:spPr>
                    <a:xfrm>
                      <a:off x="0" y="0"/>
                      <a:ext cx="5791201" cy="3438144"/>
                    </a:xfrm>
                    <a:prstGeom prst="rect">
                      <a:avLst/>
                    </a:prstGeom>
                  </pic:spPr>
                </pic:pic>
              </a:graphicData>
            </a:graphic>
          </wp:inline>
        </w:drawing>
      </w:r>
    </w:p>
    <w:p w:rsidR="00130AB6" w:rsidRDefault="002C7D32">
      <w:pPr>
        <w:spacing w:after="357" w:line="259" w:lineRule="auto"/>
        <w:ind w:left="0" w:right="0" w:firstLine="0"/>
        <w:jc w:val="left"/>
      </w:pPr>
      <w:r>
        <w:t xml:space="preserve"> </w:t>
      </w:r>
    </w:p>
    <w:p w:rsidR="00130AB6" w:rsidRDefault="002C7D32">
      <w:pPr>
        <w:pStyle w:val="Ttulo2"/>
        <w:ind w:left="388" w:right="0" w:hanging="403"/>
      </w:pPr>
      <w:bookmarkStart w:id="18" w:name="_Toc59550"/>
      <w:r>
        <w:t xml:space="preserve">Perfil econômico </w:t>
      </w:r>
      <w:bookmarkEnd w:id="18"/>
    </w:p>
    <w:p w:rsidR="00130AB6" w:rsidRDefault="002C7D32">
      <w:pPr>
        <w:ind w:left="-5" w:right="167"/>
      </w:pPr>
      <w:r>
        <w:t>Em relação aos níveis de escolaridade, 83 (81,4%) pessoas relataram possuir ensino superior completo</w:t>
      </w:r>
      <w:r>
        <w:t xml:space="preserve">. Quanto a ocupação, 28 (27,5%) indivíduos eram funcionários de empresa privada, 23 (22,5%) eram trabalhadores autônomos e 21 (20,6%) trabalhavam em empresa pública. Quanto a renda, avaliada por salários-mínimos, 37 (36,3%) participantes referiram receber </w:t>
      </w:r>
      <w:r>
        <w:t>de 1 a 3 salários-mínimos, 25 (24,5%) de 4 a 6 salários-mínimos e 18 (17,6%) de 7 a 9 salários-mínimos. Quanto a avaliação da assistência à saúde, 86 (84,3%) participantes relataram utilizar o setor privado com maior frequência e 16 (15,7%) o setor público</w:t>
      </w:r>
      <w:r>
        <w:t xml:space="preserve">. </w:t>
      </w:r>
    </w:p>
    <w:p w:rsidR="00130AB6" w:rsidRDefault="002C7D32">
      <w:pPr>
        <w:ind w:left="-5" w:right="167"/>
      </w:pPr>
      <w:r>
        <w:t xml:space="preserve">Ainda, outros dados relevantes foram observados no estudo e estão descritos na tabela abaixo. </w:t>
      </w:r>
    </w:p>
    <w:p w:rsidR="00130AB6" w:rsidRDefault="002C7D32">
      <w:pPr>
        <w:spacing w:after="0" w:line="259" w:lineRule="auto"/>
        <w:ind w:left="0" w:right="0" w:firstLine="0"/>
        <w:jc w:val="left"/>
      </w:pPr>
      <w:r>
        <w:t xml:space="preserve"> </w:t>
      </w:r>
    </w:p>
    <w:p w:rsidR="00130AB6" w:rsidRDefault="002C7D32">
      <w:pPr>
        <w:spacing w:after="4" w:line="250" w:lineRule="auto"/>
        <w:ind w:left="-5" w:right="0"/>
        <w:jc w:val="left"/>
      </w:pPr>
      <w:r>
        <w:rPr>
          <w:b/>
          <w:sz w:val="20"/>
        </w:rPr>
        <w:t>Tabela 2:</w:t>
      </w:r>
      <w:r>
        <w:rPr>
          <w:sz w:val="20"/>
        </w:rPr>
        <w:t xml:space="preserve"> Perfil econômico dos portadores de doença celíaca residentes na Bahia em 2023.</w:t>
      </w:r>
      <w:r>
        <w:t xml:space="preserve"> </w:t>
      </w:r>
    </w:p>
    <w:tbl>
      <w:tblPr>
        <w:tblStyle w:val="TableGrid"/>
        <w:tblW w:w="9018" w:type="dxa"/>
        <w:tblInd w:w="55" w:type="dxa"/>
        <w:tblCellMar>
          <w:top w:w="0" w:type="dxa"/>
          <w:left w:w="0" w:type="dxa"/>
          <w:bottom w:w="0" w:type="dxa"/>
          <w:right w:w="233" w:type="dxa"/>
        </w:tblCellMar>
        <w:tblLook w:val="04A0" w:firstRow="1" w:lastRow="0" w:firstColumn="1" w:lastColumn="0" w:noHBand="0" w:noVBand="1"/>
      </w:tblPr>
      <w:tblGrid>
        <w:gridCol w:w="6291"/>
        <w:gridCol w:w="1515"/>
        <w:gridCol w:w="1212"/>
      </w:tblGrid>
      <w:tr w:rsidR="00130AB6">
        <w:trPr>
          <w:trHeight w:val="317"/>
        </w:trPr>
        <w:tc>
          <w:tcPr>
            <w:tcW w:w="6291" w:type="dxa"/>
            <w:tcBorders>
              <w:top w:val="single" w:sz="4" w:space="0" w:color="000000"/>
              <w:left w:val="nil"/>
              <w:bottom w:val="single" w:sz="4" w:space="0" w:color="000000"/>
              <w:right w:val="nil"/>
            </w:tcBorders>
          </w:tcPr>
          <w:p w:rsidR="00130AB6" w:rsidRDefault="002C7D32">
            <w:pPr>
              <w:spacing w:after="0" w:line="259" w:lineRule="auto"/>
              <w:ind w:left="0" w:right="126" w:firstLine="0"/>
              <w:jc w:val="center"/>
            </w:pPr>
            <w:r>
              <w:rPr>
                <w:b/>
              </w:rPr>
              <w:t xml:space="preserve">Variáveis </w:t>
            </w:r>
          </w:p>
        </w:tc>
        <w:tc>
          <w:tcPr>
            <w:tcW w:w="1515" w:type="dxa"/>
            <w:tcBorders>
              <w:top w:val="single" w:sz="4" w:space="0" w:color="000000"/>
              <w:left w:val="nil"/>
              <w:bottom w:val="single" w:sz="4" w:space="0" w:color="000000"/>
              <w:right w:val="nil"/>
            </w:tcBorders>
          </w:tcPr>
          <w:p w:rsidR="00130AB6" w:rsidRDefault="002C7D32">
            <w:pPr>
              <w:spacing w:after="0" w:line="259" w:lineRule="auto"/>
              <w:ind w:left="127" w:right="0" w:firstLine="0"/>
              <w:jc w:val="left"/>
            </w:pPr>
            <w:r>
              <w:rPr>
                <w:b/>
              </w:rPr>
              <w:t xml:space="preserve">n </w:t>
            </w:r>
          </w:p>
        </w:tc>
        <w:tc>
          <w:tcPr>
            <w:tcW w:w="1212" w:type="dxa"/>
            <w:tcBorders>
              <w:top w:val="single" w:sz="4" w:space="0" w:color="000000"/>
              <w:left w:val="nil"/>
              <w:bottom w:val="single" w:sz="4" w:space="0" w:color="000000"/>
              <w:right w:val="nil"/>
            </w:tcBorders>
          </w:tcPr>
          <w:p w:rsidR="00130AB6" w:rsidRDefault="002C7D32">
            <w:pPr>
              <w:spacing w:after="0" w:line="259" w:lineRule="auto"/>
              <w:ind w:left="127" w:right="0" w:firstLine="0"/>
              <w:jc w:val="left"/>
            </w:pPr>
            <w:r>
              <w:rPr>
                <w:b/>
              </w:rPr>
              <w:t xml:space="preserve">% </w:t>
            </w:r>
          </w:p>
        </w:tc>
      </w:tr>
      <w:tr w:rsidR="00130AB6">
        <w:trPr>
          <w:trHeight w:val="634"/>
        </w:trPr>
        <w:tc>
          <w:tcPr>
            <w:tcW w:w="6291" w:type="dxa"/>
            <w:tcBorders>
              <w:top w:val="single" w:sz="4" w:space="0" w:color="000000"/>
              <w:left w:val="nil"/>
              <w:bottom w:val="nil"/>
              <w:right w:val="nil"/>
            </w:tcBorders>
          </w:tcPr>
          <w:p w:rsidR="00130AB6" w:rsidRDefault="002C7D32">
            <w:pPr>
              <w:tabs>
                <w:tab w:val="center" w:pos="5991"/>
              </w:tabs>
              <w:spacing w:after="45" w:line="259" w:lineRule="auto"/>
              <w:ind w:left="0" w:right="0" w:firstLine="0"/>
              <w:jc w:val="left"/>
            </w:pPr>
            <w:r>
              <w:rPr>
                <w:b/>
              </w:rPr>
              <w:lastRenderedPageBreak/>
              <w:t xml:space="preserve">Escolaridade </w:t>
            </w:r>
            <w:r>
              <w:rPr>
                <w:b/>
              </w:rPr>
              <w:tab/>
              <w:t xml:space="preserve"> </w:t>
            </w:r>
          </w:p>
          <w:p w:rsidR="00130AB6" w:rsidRDefault="002C7D32">
            <w:pPr>
              <w:spacing w:after="0" w:line="259" w:lineRule="auto"/>
              <w:ind w:left="1044" w:right="0" w:firstLine="0"/>
              <w:jc w:val="left"/>
            </w:pPr>
            <w:proofErr w:type="gramStart"/>
            <w:r>
              <w:t>Fundamental Incompleto</w:t>
            </w:r>
            <w:proofErr w:type="gramEnd"/>
            <w:r>
              <w:t xml:space="preserve"> </w:t>
            </w:r>
          </w:p>
        </w:tc>
        <w:tc>
          <w:tcPr>
            <w:tcW w:w="1515" w:type="dxa"/>
            <w:tcBorders>
              <w:top w:val="single" w:sz="4" w:space="0" w:color="000000"/>
              <w:left w:val="nil"/>
              <w:bottom w:val="nil"/>
              <w:right w:val="nil"/>
            </w:tcBorders>
          </w:tcPr>
          <w:p w:rsidR="00130AB6" w:rsidRDefault="002C7D32">
            <w:pPr>
              <w:spacing w:after="0" w:line="259" w:lineRule="auto"/>
              <w:ind w:left="466" w:right="0" w:firstLine="0"/>
              <w:jc w:val="center"/>
            </w:pPr>
            <w:r>
              <w:t xml:space="preserve"> </w:t>
            </w:r>
          </w:p>
          <w:p w:rsidR="00130AB6" w:rsidRDefault="002C7D32">
            <w:pPr>
              <w:spacing w:after="0" w:line="259" w:lineRule="auto"/>
              <w:ind w:left="132" w:right="0" w:firstLine="0"/>
              <w:jc w:val="left"/>
            </w:pPr>
            <w:r>
              <w:t xml:space="preserve">3 </w:t>
            </w:r>
          </w:p>
        </w:tc>
        <w:tc>
          <w:tcPr>
            <w:tcW w:w="1212" w:type="dxa"/>
            <w:tcBorders>
              <w:top w:val="single" w:sz="4" w:space="0" w:color="000000"/>
              <w:left w:val="nil"/>
              <w:bottom w:val="nil"/>
              <w:right w:val="nil"/>
            </w:tcBorders>
            <w:vAlign w:val="bottom"/>
          </w:tcPr>
          <w:p w:rsidR="00130AB6" w:rsidRDefault="002C7D32">
            <w:pPr>
              <w:spacing w:after="0" w:line="259" w:lineRule="auto"/>
              <w:ind w:left="67" w:right="0" w:firstLine="0"/>
              <w:jc w:val="left"/>
            </w:pPr>
            <w:r>
              <w:t>2,9</w:t>
            </w:r>
            <w:r>
              <w:t xml:space="preserve">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Fundamental Completo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0 </w:t>
            </w:r>
          </w:p>
        </w:tc>
        <w:tc>
          <w:tcPr>
            <w:tcW w:w="1212" w:type="dxa"/>
            <w:tcBorders>
              <w:top w:val="nil"/>
              <w:left w:val="nil"/>
              <w:bottom w:val="nil"/>
              <w:right w:val="nil"/>
            </w:tcBorders>
          </w:tcPr>
          <w:p w:rsidR="00130AB6" w:rsidRDefault="002C7D32">
            <w:pPr>
              <w:spacing w:after="0" w:line="259" w:lineRule="auto"/>
              <w:ind w:left="166" w:right="0" w:firstLine="0"/>
              <w:jc w:val="left"/>
            </w:pPr>
            <w:r>
              <w:t xml:space="preserve">0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Médio Incompleto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0 </w:t>
            </w:r>
          </w:p>
        </w:tc>
        <w:tc>
          <w:tcPr>
            <w:tcW w:w="1212" w:type="dxa"/>
            <w:tcBorders>
              <w:top w:val="nil"/>
              <w:left w:val="nil"/>
              <w:bottom w:val="nil"/>
              <w:right w:val="nil"/>
            </w:tcBorders>
          </w:tcPr>
          <w:p w:rsidR="00130AB6" w:rsidRDefault="002C7D32">
            <w:pPr>
              <w:spacing w:after="0" w:line="259" w:lineRule="auto"/>
              <w:ind w:left="166" w:right="0" w:firstLine="0"/>
              <w:jc w:val="left"/>
            </w:pPr>
            <w:r>
              <w:t xml:space="preserve">0 </w:t>
            </w:r>
          </w:p>
        </w:tc>
      </w:tr>
      <w:tr w:rsidR="00130AB6">
        <w:trPr>
          <w:trHeight w:val="307"/>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Médio Completo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7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6,9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proofErr w:type="gramStart"/>
            <w:r>
              <w:t>Superior Incompleto</w:t>
            </w:r>
            <w:proofErr w:type="gramEnd"/>
            <w:r>
              <w:t xml:space="preserve">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9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8,8 </w:t>
            </w:r>
          </w:p>
        </w:tc>
      </w:tr>
      <w:tr w:rsidR="00130AB6">
        <w:trPr>
          <w:trHeight w:val="470"/>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Superior Completo </w:t>
            </w:r>
          </w:p>
          <w:p w:rsidR="00130AB6" w:rsidRDefault="002C7D32">
            <w:pPr>
              <w:spacing w:after="0" w:line="259" w:lineRule="auto"/>
              <w:ind w:left="0" w:right="0" w:firstLine="0"/>
              <w:jc w:val="right"/>
            </w:pPr>
            <w:r>
              <w:t xml:space="preserve">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83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81,4 </w:t>
            </w:r>
          </w:p>
        </w:tc>
      </w:tr>
      <w:tr w:rsidR="00130AB6">
        <w:trPr>
          <w:trHeight w:val="763"/>
        </w:trPr>
        <w:tc>
          <w:tcPr>
            <w:tcW w:w="6291" w:type="dxa"/>
            <w:tcBorders>
              <w:top w:val="nil"/>
              <w:left w:val="nil"/>
              <w:bottom w:val="nil"/>
              <w:right w:val="nil"/>
            </w:tcBorders>
          </w:tcPr>
          <w:p w:rsidR="00130AB6" w:rsidRDefault="002C7D32">
            <w:pPr>
              <w:spacing w:after="0" w:line="259" w:lineRule="auto"/>
              <w:ind w:left="0" w:right="57" w:firstLine="0"/>
              <w:jc w:val="center"/>
            </w:pPr>
            <w:r>
              <w:t xml:space="preserve"> </w:t>
            </w:r>
          </w:p>
          <w:p w:rsidR="00130AB6" w:rsidRDefault="002C7D32">
            <w:pPr>
              <w:tabs>
                <w:tab w:val="center" w:pos="5991"/>
              </w:tabs>
              <w:spacing w:after="45" w:line="259" w:lineRule="auto"/>
              <w:ind w:left="0" w:right="0" w:firstLine="0"/>
              <w:jc w:val="left"/>
            </w:pPr>
            <w:r>
              <w:rPr>
                <w:b/>
              </w:rPr>
              <w:t xml:space="preserve">Ocupação </w:t>
            </w:r>
            <w:r>
              <w:rPr>
                <w:b/>
              </w:rPr>
              <w:tab/>
              <w:t xml:space="preserve"> </w:t>
            </w:r>
          </w:p>
          <w:p w:rsidR="00130AB6" w:rsidRDefault="002C7D32">
            <w:pPr>
              <w:spacing w:after="0" w:line="259" w:lineRule="auto"/>
              <w:ind w:left="1044" w:right="0" w:firstLine="0"/>
              <w:jc w:val="left"/>
            </w:pPr>
            <w:r>
              <w:t xml:space="preserve">Estudante </w:t>
            </w:r>
          </w:p>
        </w:tc>
        <w:tc>
          <w:tcPr>
            <w:tcW w:w="1515" w:type="dxa"/>
            <w:tcBorders>
              <w:top w:val="nil"/>
              <w:left w:val="nil"/>
              <w:bottom w:val="nil"/>
              <w:right w:val="nil"/>
            </w:tcBorders>
            <w:vAlign w:val="bottom"/>
          </w:tcPr>
          <w:p w:rsidR="00130AB6" w:rsidRDefault="002C7D32">
            <w:pPr>
              <w:spacing w:after="0" w:line="259" w:lineRule="auto"/>
              <w:ind w:left="466" w:right="0" w:firstLine="0"/>
              <w:jc w:val="center"/>
            </w:pPr>
            <w:r>
              <w:t xml:space="preserve"> </w:t>
            </w:r>
          </w:p>
          <w:p w:rsidR="00130AB6" w:rsidRDefault="002C7D32">
            <w:pPr>
              <w:spacing w:after="0" w:line="259" w:lineRule="auto"/>
              <w:ind w:left="67" w:right="0" w:firstLine="0"/>
              <w:jc w:val="left"/>
            </w:pPr>
            <w:r>
              <w:t xml:space="preserve">12 </w:t>
            </w:r>
          </w:p>
        </w:tc>
        <w:tc>
          <w:tcPr>
            <w:tcW w:w="1212" w:type="dxa"/>
            <w:tcBorders>
              <w:top w:val="nil"/>
              <w:left w:val="nil"/>
              <w:bottom w:val="nil"/>
              <w:right w:val="nil"/>
            </w:tcBorders>
          </w:tcPr>
          <w:p w:rsidR="00130AB6" w:rsidRDefault="002C7D32">
            <w:pPr>
              <w:spacing w:after="252" w:line="259" w:lineRule="auto"/>
              <w:ind w:left="233" w:right="0" w:firstLine="0"/>
              <w:jc w:val="left"/>
            </w:pPr>
            <w:r>
              <w:t xml:space="preserve"> </w:t>
            </w:r>
          </w:p>
          <w:p w:rsidR="00130AB6" w:rsidRDefault="002C7D32">
            <w:pPr>
              <w:spacing w:after="0" w:line="259" w:lineRule="auto"/>
              <w:ind w:left="0" w:right="0" w:firstLine="0"/>
              <w:jc w:val="left"/>
            </w:pPr>
            <w:r>
              <w:t xml:space="preserve">11,8 </w:t>
            </w:r>
          </w:p>
        </w:tc>
      </w:tr>
      <w:tr w:rsidR="00130AB6">
        <w:trPr>
          <w:trHeight w:val="307"/>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Trabalhador(a) autônomo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23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22,5 </w:t>
            </w:r>
          </w:p>
        </w:tc>
      </w:tr>
      <w:tr w:rsidR="00130AB6">
        <w:trPr>
          <w:trHeight w:val="308"/>
        </w:trPr>
        <w:tc>
          <w:tcPr>
            <w:tcW w:w="6291" w:type="dxa"/>
            <w:tcBorders>
              <w:top w:val="nil"/>
              <w:left w:val="nil"/>
              <w:bottom w:val="nil"/>
              <w:right w:val="nil"/>
            </w:tcBorders>
          </w:tcPr>
          <w:p w:rsidR="00130AB6" w:rsidRDefault="002C7D32">
            <w:pPr>
              <w:spacing w:after="0" w:line="259" w:lineRule="auto"/>
              <w:ind w:left="350" w:right="0" w:firstLine="0"/>
              <w:jc w:val="center"/>
            </w:pPr>
            <w:r>
              <w:t xml:space="preserve">Empregado(a) em uma empresa privada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28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27,5 </w:t>
            </w:r>
          </w:p>
        </w:tc>
      </w:tr>
      <w:tr w:rsidR="00130AB6">
        <w:trPr>
          <w:trHeight w:val="308"/>
        </w:trPr>
        <w:tc>
          <w:tcPr>
            <w:tcW w:w="6291" w:type="dxa"/>
            <w:tcBorders>
              <w:top w:val="nil"/>
              <w:left w:val="nil"/>
              <w:bottom w:val="nil"/>
              <w:right w:val="nil"/>
            </w:tcBorders>
          </w:tcPr>
          <w:p w:rsidR="00130AB6" w:rsidRDefault="002C7D32">
            <w:pPr>
              <w:spacing w:after="0" w:line="259" w:lineRule="auto"/>
              <w:ind w:left="324" w:right="0" w:firstLine="0"/>
              <w:jc w:val="center"/>
            </w:pPr>
            <w:r>
              <w:t xml:space="preserve">Empregado(a) em uma empresa pública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21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20,6 </w:t>
            </w:r>
          </w:p>
        </w:tc>
      </w:tr>
      <w:tr w:rsidR="00130AB6">
        <w:trPr>
          <w:trHeight w:val="307"/>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Desempregado(a)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9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8,8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Aposentado(a)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2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2,0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Empresário(a)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5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4,9 </w:t>
            </w:r>
          </w:p>
        </w:tc>
      </w:tr>
      <w:tr w:rsidR="00130AB6">
        <w:trPr>
          <w:trHeight w:val="469"/>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Em reabilitação profissional </w:t>
            </w:r>
          </w:p>
        </w:tc>
        <w:tc>
          <w:tcPr>
            <w:tcW w:w="1515" w:type="dxa"/>
            <w:tcBorders>
              <w:top w:val="nil"/>
              <w:left w:val="nil"/>
              <w:bottom w:val="nil"/>
              <w:right w:val="nil"/>
            </w:tcBorders>
          </w:tcPr>
          <w:p w:rsidR="00130AB6" w:rsidRDefault="002C7D32">
            <w:pPr>
              <w:spacing w:after="0" w:line="259" w:lineRule="auto"/>
              <w:ind w:left="132" w:right="0" w:firstLine="0"/>
              <w:jc w:val="left"/>
            </w:pPr>
            <w:r>
              <w:t xml:space="preserve">2 </w:t>
            </w:r>
          </w:p>
        </w:tc>
        <w:tc>
          <w:tcPr>
            <w:tcW w:w="1212" w:type="dxa"/>
            <w:tcBorders>
              <w:top w:val="nil"/>
              <w:left w:val="nil"/>
              <w:bottom w:val="nil"/>
              <w:right w:val="nil"/>
            </w:tcBorders>
          </w:tcPr>
          <w:p w:rsidR="00130AB6" w:rsidRDefault="002C7D32">
            <w:pPr>
              <w:spacing w:after="0" w:line="259" w:lineRule="auto"/>
              <w:ind w:left="67" w:right="0" w:firstLine="0"/>
              <w:jc w:val="left"/>
            </w:pPr>
            <w:r>
              <w:t xml:space="preserve">2,0 </w:t>
            </w:r>
          </w:p>
        </w:tc>
      </w:tr>
      <w:tr w:rsidR="00130AB6">
        <w:trPr>
          <w:trHeight w:val="771"/>
        </w:trPr>
        <w:tc>
          <w:tcPr>
            <w:tcW w:w="6291" w:type="dxa"/>
            <w:tcBorders>
              <w:top w:val="nil"/>
              <w:left w:val="nil"/>
              <w:bottom w:val="nil"/>
              <w:right w:val="nil"/>
            </w:tcBorders>
          </w:tcPr>
          <w:p w:rsidR="00130AB6" w:rsidRDefault="002C7D32">
            <w:pPr>
              <w:spacing w:after="0" w:line="259" w:lineRule="auto"/>
              <w:ind w:left="0" w:right="57" w:firstLine="0"/>
              <w:jc w:val="center"/>
            </w:pPr>
            <w:r>
              <w:t xml:space="preserve"> </w:t>
            </w:r>
          </w:p>
          <w:p w:rsidR="00130AB6" w:rsidRDefault="002C7D32">
            <w:pPr>
              <w:tabs>
                <w:tab w:val="center" w:pos="5991"/>
              </w:tabs>
              <w:spacing w:after="53" w:line="259" w:lineRule="auto"/>
              <w:ind w:left="0" w:right="0" w:firstLine="0"/>
              <w:jc w:val="left"/>
            </w:pPr>
            <w:r>
              <w:rPr>
                <w:b/>
              </w:rPr>
              <w:t xml:space="preserve">Renda (salário-mínimo) </w:t>
            </w:r>
            <w:r>
              <w:rPr>
                <w:b/>
              </w:rPr>
              <w:tab/>
              <w:t xml:space="preserve"> </w:t>
            </w:r>
          </w:p>
          <w:p w:rsidR="00130AB6" w:rsidRDefault="002C7D32">
            <w:pPr>
              <w:spacing w:after="0" w:line="259" w:lineRule="auto"/>
              <w:ind w:left="1044" w:right="0" w:firstLine="0"/>
              <w:jc w:val="left"/>
            </w:pPr>
            <w:r>
              <w:t xml:space="preserve">&lt; 1  </w:t>
            </w:r>
          </w:p>
        </w:tc>
        <w:tc>
          <w:tcPr>
            <w:tcW w:w="1515" w:type="dxa"/>
            <w:tcBorders>
              <w:top w:val="nil"/>
              <w:left w:val="nil"/>
              <w:bottom w:val="nil"/>
              <w:right w:val="nil"/>
            </w:tcBorders>
          </w:tcPr>
          <w:p w:rsidR="00130AB6" w:rsidRDefault="002C7D32">
            <w:pPr>
              <w:spacing w:after="9" w:line="259" w:lineRule="auto"/>
              <w:ind w:left="286" w:right="0" w:firstLine="0"/>
              <w:jc w:val="center"/>
            </w:pPr>
            <w:r>
              <w:t xml:space="preserve">  </w:t>
            </w:r>
          </w:p>
          <w:p w:rsidR="00130AB6" w:rsidRDefault="002C7D32">
            <w:pPr>
              <w:spacing w:after="0" w:line="259" w:lineRule="auto"/>
              <w:ind w:left="466" w:right="0" w:firstLine="0"/>
              <w:jc w:val="center"/>
            </w:pPr>
            <w:r>
              <w:t xml:space="preserve"> </w:t>
            </w:r>
          </w:p>
          <w:p w:rsidR="00130AB6" w:rsidRDefault="002C7D32">
            <w:pPr>
              <w:spacing w:after="0" w:line="259" w:lineRule="auto"/>
              <w:ind w:left="132" w:right="0" w:firstLine="0"/>
              <w:jc w:val="left"/>
            </w:pPr>
            <w:r>
              <w:t xml:space="preserve">8 </w:t>
            </w:r>
          </w:p>
        </w:tc>
        <w:tc>
          <w:tcPr>
            <w:tcW w:w="1212" w:type="dxa"/>
            <w:tcBorders>
              <w:top w:val="nil"/>
              <w:left w:val="nil"/>
              <w:bottom w:val="nil"/>
              <w:right w:val="nil"/>
            </w:tcBorders>
            <w:vAlign w:val="bottom"/>
          </w:tcPr>
          <w:p w:rsidR="00130AB6" w:rsidRDefault="002C7D32">
            <w:pPr>
              <w:spacing w:after="0" w:line="259" w:lineRule="auto"/>
              <w:ind w:left="67" w:right="0" w:firstLine="0"/>
              <w:jc w:val="left"/>
            </w:pPr>
            <w:r>
              <w:t xml:space="preserve">7,8 </w:t>
            </w:r>
          </w:p>
        </w:tc>
      </w:tr>
      <w:tr w:rsidR="00130AB6">
        <w:trPr>
          <w:trHeight w:val="309"/>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1 a 3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37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36,3 </w:t>
            </w:r>
          </w:p>
        </w:tc>
      </w:tr>
      <w:tr w:rsidR="00130AB6">
        <w:trPr>
          <w:trHeight w:val="307"/>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4 a 6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25 </w:t>
            </w:r>
          </w:p>
        </w:tc>
        <w:tc>
          <w:tcPr>
            <w:tcW w:w="1212" w:type="dxa"/>
            <w:tcBorders>
              <w:top w:val="nil"/>
              <w:left w:val="nil"/>
              <w:bottom w:val="nil"/>
              <w:right w:val="nil"/>
            </w:tcBorders>
          </w:tcPr>
          <w:p w:rsidR="00130AB6" w:rsidRDefault="002C7D32">
            <w:pPr>
              <w:spacing w:after="0" w:line="259" w:lineRule="auto"/>
              <w:ind w:left="0" w:right="0" w:firstLine="0"/>
              <w:jc w:val="left"/>
            </w:pPr>
            <w:r>
              <w:t>24,5</w:t>
            </w:r>
            <w:r>
              <w:t xml:space="preserve"> </w:t>
            </w:r>
          </w:p>
        </w:tc>
      </w:tr>
      <w:tr w:rsidR="00130AB6">
        <w:trPr>
          <w:trHeight w:val="308"/>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7 a 9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18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17,6 </w:t>
            </w:r>
          </w:p>
        </w:tc>
      </w:tr>
      <w:tr w:rsidR="00130AB6">
        <w:trPr>
          <w:trHeight w:val="462"/>
        </w:trPr>
        <w:tc>
          <w:tcPr>
            <w:tcW w:w="6291" w:type="dxa"/>
            <w:tcBorders>
              <w:top w:val="nil"/>
              <w:left w:val="nil"/>
              <w:bottom w:val="nil"/>
              <w:right w:val="nil"/>
            </w:tcBorders>
          </w:tcPr>
          <w:p w:rsidR="00130AB6" w:rsidRDefault="002C7D32">
            <w:pPr>
              <w:spacing w:after="0" w:line="259" w:lineRule="auto"/>
              <w:ind w:left="1044" w:right="0" w:firstLine="0"/>
              <w:jc w:val="left"/>
            </w:pPr>
            <w:r>
              <w:t xml:space="preserve">&gt; 10  </w:t>
            </w:r>
          </w:p>
        </w:tc>
        <w:tc>
          <w:tcPr>
            <w:tcW w:w="1515" w:type="dxa"/>
            <w:tcBorders>
              <w:top w:val="nil"/>
              <w:left w:val="nil"/>
              <w:bottom w:val="nil"/>
              <w:right w:val="nil"/>
            </w:tcBorders>
          </w:tcPr>
          <w:p w:rsidR="00130AB6" w:rsidRDefault="002C7D32">
            <w:pPr>
              <w:spacing w:after="0" w:line="259" w:lineRule="auto"/>
              <w:ind w:left="67" w:right="0" w:firstLine="0"/>
              <w:jc w:val="left"/>
            </w:pPr>
            <w:r>
              <w:t xml:space="preserve">14 </w:t>
            </w:r>
          </w:p>
        </w:tc>
        <w:tc>
          <w:tcPr>
            <w:tcW w:w="1212" w:type="dxa"/>
            <w:tcBorders>
              <w:top w:val="nil"/>
              <w:left w:val="nil"/>
              <w:bottom w:val="nil"/>
              <w:right w:val="nil"/>
            </w:tcBorders>
          </w:tcPr>
          <w:p w:rsidR="00130AB6" w:rsidRDefault="002C7D32">
            <w:pPr>
              <w:spacing w:after="0" w:line="259" w:lineRule="auto"/>
              <w:ind w:left="0" w:right="0" w:firstLine="0"/>
              <w:jc w:val="left"/>
            </w:pPr>
            <w:r>
              <w:t xml:space="preserve">13,7 </w:t>
            </w:r>
          </w:p>
        </w:tc>
      </w:tr>
      <w:tr w:rsidR="00130AB6">
        <w:trPr>
          <w:trHeight w:val="755"/>
        </w:trPr>
        <w:tc>
          <w:tcPr>
            <w:tcW w:w="6291" w:type="dxa"/>
            <w:tcBorders>
              <w:top w:val="nil"/>
              <w:left w:val="nil"/>
              <w:bottom w:val="nil"/>
              <w:right w:val="nil"/>
            </w:tcBorders>
          </w:tcPr>
          <w:p w:rsidR="00130AB6" w:rsidRDefault="002C7D32">
            <w:pPr>
              <w:spacing w:after="0" w:line="259" w:lineRule="auto"/>
              <w:ind w:left="0" w:right="0" w:firstLine="0"/>
              <w:jc w:val="right"/>
            </w:pPr>
            <w:r>
              <w:t xml:space="preserve"> </w:t>
            </w:r>
            <w:r>
              <w:tab/>
              <w:t xml:space="preserve"> </w:t>
            </w:r>
          </w:p>
          <w:p w:rsidR="00130AB6" w:rsidRDefault="002C7D32">
            <w:pPr>
              <w:tabs>
                <w:tab w:val="center" w:pos="5991"/>
              </w:tabs>
              <w:spacing w:after="48" w:line="259" w:lineRule="auto"/>
              <w:ind w:left="0" w:right="0" w:firstLine="0"/>
              <w:jc w:val="left"/>
            </w:pPr>
            <w:r>
              <w:rPr>
                <w:b/>
              </w:rPr>
              <w:t xml:space="preserve">Tipo de sistema de saúde  </w:t>
            </w:r>
            <w:r>
              <w:rPr>
                <w:b/>
              </w:rPr>
              <w:tab/>
              <w:t xml:space="preserve"> </w:t>
            </w:r>
          </w:p>
          <w:p w:rsidR="00130AB6" w:rsidRDefault="002C7D32">
            <w:pPr>
              <w:spacing w:after="0" w:line="259" w:lineRule="auto"/>
              <w:ind w:left="1044" w:right="0" w:firstLine="0"/>
              <w:jc w:val="left"/>
            </w:pPr>
            <w:r>
              <w:t xml:space="preserve">Privado </w:t>
            </w:r>
          </w:p>
        </w:tc>
        <w:tc>
          <w:tcPr>
            <w:tcW w:w="1515" w:type="dxa"/>
            <w:tcBorders>
              <w:top w:val="nil"/>
              <w:left w:val="nil"/>
              <w:bottom w:val="nil"/>
              <w:right w:val="nil"/>
            </w:tcBorders>
          </w:tcPr>
          <w:p w:rsidR="00130AB6" w:rsidRDefault="002C7D32">
            <w:pPr>
              <w:spacing w:after="9" w:line="259" w:lineRule="auto"/>
              <w:ind w:left="466" w:right="0" w:firstLine="0"/>
              <w:jc w:val="center"/>
            </w:pPr>
            <w:r>
              <w:t xml:space="preserve"> </w:t>
            </w:r>
          </w:p>
          <w:p w:rsidR="00130AB6" w:rsidRDefault="002C7D32">
            <w:pPr>
              <w:spacing w:after="0" w:line="259" w:lineRule="auto"/>
              <w:ind w:left="466" w:right="0" w:firstLine="0"/>
              <w:jc w:val="center"/>
            </w:pPr>
            <w:r>
              <w:t xml:space="preserve"> </w:t>
            </w:r>
          </w:p>
          <w:p w:rsidR="00130AB6" w:rsidRDefault="002C7D32">
            <w:pPr>
              <w:spacing w:after="0" w:line="259" w:lineRule="auto"/>
              <w:ind w:left="67" w:right="0" w:firstLine="0"/>
              <w:jc w:val="left"/>
            </w:pPr>
            <w:r>
              <w:t xml:space="preserve">86 </w:t>
            </w:r>
          </w:p>
        </w:tc>
        <w:tc>
          <w:tcPr>
            <w:tcW w:w="1212" w:type="dxa"/>
            <w:tcBorders>
              <w:top w:val="nil"/>
              <w:left w:val="nil"/>
              <w:bottom w:val="nil"/>
              <w:right w:val="nil"/>
            </w:tcBorders>
            <w:vAlign w:val="bottom"/>
          </w:tcPr>
          <w:p w:rsidR="00130AB6" w:rsidRDefault="002C7D32">
            <w:pPr>
              <w:spacing w:after="0" w:line="259" w:lineRule="auto"/>
              <w:ind w:left="0" w:right="0" w:firstLine="0"/>
              <w:jc w:val="left"/>
            </w:pPr>
            <w:r>
              <w:t xml:space="preserve">84,3 </w:t>
            </w:r>
          </w:p>
        </w:tc>
      </w:tr>
      <w:tr w:rsidR="00130AB6">
        <w:trPr>
          <w:trHeight w:val="445"/>
        </w:trPr>
        <w:tc>
          <w:tcPr>
            <w:tcW w:w="6291" w:type="dxa"/>
            <w:tcBorders>
              <w:top w:val="nil"/>
              <w:left w:val="nil"/>
              <w:bottom w:val="single" w:sz="4" w:space="0" w:color="000000"/>
              <w:right w:val="nil"/>
            </w:tcBorders>
          </w:tcPr>
          <w:p w:rsidR="00130AB6" w:rsidRDefault="002C7D32">
            <w:pPr>
              <w:spacing w:after="0" w:line="259" w:lineRule="auto"/>
              <w:ind w:left="1044" w:right="0" w:firstLine="0"/>
              <w:jc w:val="left"/>
            </w:pPr>
            <w:r>
              <w:t xml:space="preserve">Público </w:t>
            </w:r>
          </w:p>
        </w:tc>
        <w:tc>
          <w:tcPr>
            <w:tcW w:w="1515" w:type="dxa"/>
            <w:tcBorders>
              <w:top w:val="nil"/>
              <w:left w:val="nil"/>
              <w:bottom w:val="single" w:sz="4" w:space="0" w:color="000000"/>
              <w:right w:val="nil"/>
            </w:tcBorders>
          </w:tcPr>
          <w:p w:rsidR="00130AB6" w:rsidRDefault="002C7D32">
            <w:pPr>
              <w:spacing w:after="0" w:line="259" w:lineRule="auto"/>
              <w:ind w:left="67" w:right="0" w:firstLine="0"/>
              <w:jc w:val="left"/>
            </w:pPr>
            <w:r>
              <w:t xml:space="preserve">16 </w:t>
            </w:r>
          </w:p>
        </w:tc>
        <w:tc>
          <w:tcPr>
            <w:tcW w:w="1212" w:type="dxa"/>
            <w:tcBorders>
              <w:top w:val="nil"/>
              <w:left w:val="nil"/>
              <w:bottom w:val="single" w:sz="4" w:space="0" w:color="000000"/>
              <w:right w:val="nil"/>
            </w:tcBorders>
          </w:tcPr>
          <w:p w:rsidR="00130AB6" w:rsidRDefault="002C7D32">
            <w:pPr>
              <w:spacing w:after="0" w:line="259" w:lineRule="auto"/>
              <w:ind w:left="0" w:right="0" w:firstLine="0"/>
              <w:jc w:val="left"/>
            </w:pPr>
            <w:r>
              <w:t xml:space="preserve">15,7 </w:t>
            </w:r>
          </w:p>
        </w:tc>
      </w:tr>
      <w:tr w:rsidR="00130AB6">
        <w:trPr>
          <w:trHeight w:val="314"/>
        </w:trPr>
        <w:tc>
          <w:tcPr>
            <w:tcW w:w="6291" w:type="dxa"/>
            <w:tcBorders>
              <w:top w:val="single" w:sz="4" w:space="0" w:color="000000"/>
              <w:left w:val="nil"/>
              <w:bottom w:val="single" w:sz="4" w:space="0" w:color="000000"/>
              <w:right w:val="nil"/>
            </w:tcBorders>
          </w:tcPr>
          <w:p w:rsidR="00130AB6" w:rsidRDefault="002C7D32">
            <w:pPr>
              <w:spacing w:after="0" w:line="259" w:lineRule="auto"/>
              <w:ind w:left="0" w:right="124" w:firstLine="0"/>
              <w:jc w:val="center"/>
            </w:pPr>
            <w:r>
              <w:rPr>
                <w:b/>
              </w:rPr>
              <w:t xml:space="preserve">TOTAL </w:t>
            </w:r>
          </w:p>
        </w:tc>
        <w:tc>
          <w:tcPr>
            <w:tcW w:w="1515"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102 </w:t>
            </w:r>
          </w:p>
        </w:tc>
        <w:tc>
          <w:tcPr>
            <w:tcW w:w="1212" w:type="dxa"/>
            <w:tcBorders>
              <w:top w:val="single" w:sz="4" w:space="0" w:color="000000"/>
              <w:left w:val="nil"/>
              <w:bottom w:val="single" w:sz="4" w:space="0" w:color="000000"/>
              <w:right w:val="nil"/>
            </w:tcBorders>
          </w:tcPr>
          <w:p w:rsidR="00130AB6" w:rsidRDefault="002C7D32">
            <w:pPr>
              <w:spacing w:after="0" w:line="259" w:lineRule="auto"/>
              <w:ind w:left="34" w:right="0" w:firstLine="0"/>
              <w:jc w:val="left"/>
            </w:pPr>
            <w:r>
              <w:rPr>
                <w:b/>
              </w:rPr>
              <w:t xml:space="preserve">100 </w:t>
            </w:r>
          </w:p>
        </w:tc>
      </w:tr>
    </w:tbl>
    <w:p w:rsidR="00130AB6" w:rsidRDefault="002C7D32">
      <w:pPr>
        <w:spacing w:after="230" w:line="250" w:lineRule="auto"/>
        <w:ind w:left="-5" w:right="0"/>
        <w:jc w:val="left"/>
      </w:pPr>
      <w:r>
        <w:rPr>
          <w:sz w:val="20"/>
        </w:rPr>
        <w:t xml:space="preserve">Fonte: Elaborado pelo autor (2023). </w:t>
      </w:r>
    </w:p>
    <w:p w:rsidR="00130AB6" w:rsidRDefault="002C7D32">
      <w:pPr>
        <w:spacing w:after="355" w:line="259" w:lineRule="auto"/>
        <w:ind w:left="0" w:right="0" w:firstLine="0"/>
        <w:jc w:val="left"/>
      </w:pPr>
      <w:r>
        <w:rPr>
          <w:b/>
        </w:rPr>
        <w:t xml:space="preserve"> </w:t>
      </w:r>
    </w:p>
    <w:p w:rsidR="00130AB6" w:rsidRDefault="002C7D32">
      <w:pPr>
        <w:pStyle w:val="Ttulo2"/>
        <w:ind w:left="387" w:right="0" w:hanging="402"/>
      </w:pPr>
      <w:bookmarkStart w:id="19" w:name="_Toc59551"/>
      <w:r>
        <w:t xml:space="preserve">Hereditariedade </w:t>
      </w:r>
      <w:bookmarkEnd w:id="19"/>
    </w:p>
    <w:p w:rsidR="00130AB6" w:rsidRDefault="002C7D32">
      <w:pPr>
        <w:ind w:left="-5" w:right="167"/>
      </w:pPr>
      <w:r>
        <w:t xml:space="preserve">Na </w:t>
      </w:r>
      <w:r>
        <w:t>avaliação da história familiar dos participantes, 71 (69,6%) não referiram familiares com doença celíaca, porém, 17 (16,7%) indivíduos relataram possuir familiares de 2º grau com diagnóstico de doença celíaca e 14 (13,7%) possuíam familiares celíacos de 1º</w:t>
      </w:r>
      <w:r>
        <w:t xml:space="preserve"> grau. </w:t>
      </w:r>
    </w:p>
    <w:p w:rsidR="00130AB6" w:rsidRDefault="002C7D32">
      <w:pPr>
        <w:spacing w:after="0" w:line="259" w:lineRule="auto"/>
        <w:ind w:left="0" w:right="0" w:firstLine="0"/>
        <w:jc w:val="left"/>
      </w:pPr>
      <w:r>
        <w:t xml:space="preserve"> </w:t>
      </w:r>
    </w:p>
    <w:p w:rsidR="00130AB6" w:rsidRDefault="002C7D32">
      <w:pPr>
        <w:spacing w:after="4" w:line="250" w:lineRule="auto"/>
        <w:ind w:left="-5" w:right="0"/>
        <w:jc w:val="left"/>
      </w:pPr>
      <w:r>
        <w:rPr>
          <w:b/>
          <w:sz w:val="20"/>
        </w:rPr>
        <w:t xml:space="preserve">Gráfico 2: </w:t>
      </w:r>
      <w:r>
        <w:rPr>
          <w:sz w:val="20"/>
        </w:rPr>
        <w:t xml:space="preserve">Presença de membros na família com doença celíaca diagnosticada dentre os portadores de doença celíaca residentes da Bahia, em 2023. </w:t>
      </w:r>
    </w:p>
    <w:p w:rsidR="00130AB6" w:rsidRDefault="002C7D32">
      <w:pPr>
        <w:spacing w:after="211"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extent cx="5770083" cy="2526623"/>
                <wp:effectExtent l="0" t="0" r="0" b="0"/>
                <wp:docPr id="48554" name="Group 48554"/>
                <wp:cNvGraphicFramePr/>
                <a:graphic xmlns:a="http://schemas.openxmlformats.org/drawingml/2006/main">
                  <a:graphicData uri="http://schemas.microsoft.com/office/word/2010/wordprocessingGroup">
                    <wpg:wgp>
                      <wpg:cNvGrpSpPr/>
                      <wpg:grpSpPr>
                        <a:xfrm>
                          <a:off x="0" y="0"/>
                          <a:ext cx="5770083" cy="2526623"/>
                          <a:chOff x="0" y="0"/>
                          <a:chExt cx="5770083" cy="2526623"/>
                        </a:xfrm>
                      </wpg:grpSpPr>
                      <wps:wsp>
                        <wps:cNvPr id="3157" name="Rectangle 3157"/>
                        <wps:cNvSpPr/>
                        <wps:spPr>
                          <a:xfrm>
                            <a:off x="5734939" y="2115836"/>
                            <a:ext cx="46741" cy="187581"/>
                          </a:xfrm>
                          <a:prstGeom prst="rect">
                            <a:avLst/>
                          </a:prstGeom>
                          <a:ln>
                            <a:noFill/>
                          </a:ln>
                        </wps:spPr>
                        <wps:txbx>
                          <w:txbxContent>
                            <w:p w:rsidR="00130AB6" w:rsidRDefault="002C7D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58" name="Rectangle 3158"/>
                        <wps:cNvSpPr/>
                        <wps:spPr>
                          <a:xfrm>
                            <a:off x="686" y="2385584"/>
                            <a:ext cx="522676" cy="187581"/>
                          </a:xfrm>
                          <a:prstGeom prst="rect">
                            <a:avLst/>
                          </a:prstGeom>
                          <a:ln>
                            <a:noFill/>
                          </a:ln>
                        </wps:spPr>
                        <wps:txbx>
                          <w:txbxContent>
                            <w:p w:rsidR="00130AB6" w:rsidRDefault="002C7D32">
                              <w:pPr>
                                <w:spacing w:after="160" w:line="259" w:lineRule="auto"/>
                                <w:ind w:left="0" w:right="0" w:firstLine="0"/>
                                <w:jc w:val="left"/>
                              </w:pPr>
                              <w:r>
                                <w:rPr>
                                  <w:sz w:val="20"/>
                                </w:rPr>
                                <w:t xml:space="preserve">Fonte: </w:t>
                              </w:r>
                            </w:p>
                          </w:txbxContent>
                        </wps:txbx>
                        <wps:bodyPr horzOverflow="overflow" vert="horz" lIns="0" tIns="0" rIns="0" bIns="0" rtlCol="0">
                          <a:noAutofit/>
                        </wps:bodyPr>
                      </wps:wsp>
                      <wps:wsp>
                        <wps:cNvPr id="3159" name="Rectangle 3159"/>
                        <wps:cNvSpPr/>
                        <wps:spPr>
                          <a:xfrm>
                            <a:off x="395351" y="2385584"/>
                            <a:ext cx="1134741" cy="187581"/>
                          </a:xfrm>
                          <a:prstGeom prst="rect">
                            <a:avLst/>
                          </a:prstGeom>
                          <a:ln>
                            <a:noFill/>
                          </a:ln>
                        </wps:spPr>
                        <wps:txbx>
                          <w:txbxContent>
                            <w:p w:rsidR="00130AB6" w:rsidRDefault="002C7D32">
                              <w:pPr>
                                <w:spacing w:after="160" w:line="259" w:lineRule="auto"/>
                                <w:ind w:left="0" w:right="0" w:firstLine="0"/>
                                <w:jc w:val="left"/>
                              </w:pPr>
                              <w:r>
                                <w:rPr>
                                  <w:sz w:val="20"/>
                                </w:rPr>
                                <w:t>Elaborado pelo</w:t>
                              </w:r>
                            </w:p>
                          </w:txbxContent>
                        </wps:txbx>
                        <wps:bodyPr horzOverflow="overflow" vert="horz" lIns="0" tIns="0" rIns="0" bIns="0" rtlCol="0">
                          <a:noAutofit/>
                        </wps:bodyPr>
                      </wps:wsp>
                      <wps:wsp>
                        <wps:cNvPr id="3160" name="Rectangle 3160"/>
                        <wps:cNvSpPr/>
                        <wps:spPr>
                          <a:xfrm>
                            <a:off x="1248791" y="2385584"/>
                            <a:ext cx="46741" cy="187581"/>
                          </a:xfrm>
                          <a:prstGeom prst="rect">
                            <a:avLst/>
                          </a:prstGeom>
                          <a:ln>
                            <a:noFill/>
                          </a:ln>
                        </wps:spPr>
                        <wps:txbx>
                          <w:txbxContent>
                            <w:p w:rsidR="00130AB6" w:rsidRDefault="002C7D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61" name="Rectangle 3161"/>
                        <wps:cNvSpPr/>
                        <wps:spPr>
                          <a:xfrm>
                            <a:off x="1285748" y="2385584"/>
                            <a:ext cx="384079" cy="187581"/>
                          </a:xfrm>
                          <a:prstGeom prst="rect">
                            <a:avLst/>
                          </a:prstGeom>
                          <a:ln>
                            <a:noFill/>
                          </a:ln>
                        </wps:spPr>
                        <wps:txbx>
                          <w:txbxContent>
                            <w:p w:rsidR="00130AB6" w:rsidRDefault="002C7D32">
                              <w:pPr>
                                <w:spacing w:after="160" w:line="259" w:lineRule="auto"/>
                                <w:ind w:left="0" w:right="0" w:firstLine="0"/>
                                <w:jc w:val="left"/>
                              </w:pPr>
                              <w:r>
                                <w:rPr>
                                  <w:sz w:val="20"/>
                                </w:rPr>
                                <w:t>autor</w:t>
                              </w:r>
                            </w:p>
                          </w:txbxContent>
                        </wps:txbx>
                        <wps:bodyPr horzOverflow="overflow" vert="horz" lIns="0" tIns="0" rIns="0" bIns="0" rtlCol="0">
                          <a:noAutofit/>
                        </wps:bodyPr>
                      </wps:wsp>
                      <wps:wsp>
                        <wps:cNvPr id="3162" name="Rectangle 3162"/>
                        <wps:cNvSpPr/>
                        <wps:spPr>
                          <a:xfrm>
                            <a:off x="1575308" y="2385584"/>
                            <a:ext cx="46741" cy="187581"/>
                          </a:xfrm>
                          <a:prstGeom prst="rect">
                            <a:avLst/>
                          </a:prstGeom>
                          <a:ln>
                            <a:noFill/>
                          </a:ln>
                        </wps:spPr>
                        <wps:txbx>
                          <w:txbxContent>
                            <w:p w:rsidR="00130AB6" w:rsidRDefault="002C7D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163" name="Rectangle 3163"/>
                        <wps:cNvSpPr/>
                        <wps:spPr>
                          <a:xfrm>
                            <a:off x="1610360" y="2385584"/>
                            <a:ext cx="485358" cy="187581"/>
                          </a:xfrm>
                          <a:prstGeom prst="rect">
                            <a:avLst/>
                          </a:prstGeom>
                          <a:ln>
                            <a:noFill/>
                          </a:ln>
                        </wps:spPr>
                        <wps:txbx>
                          <w:txbxContent>
                            <w:p w:rsidR="00130AB6" w:rsidRDefault="002C7D32">
                              <w:pPr>
                                <w:spacing w:after="160" w:line="259" w:lineRule="auto"/>
                                <w:ind w:left="0" w:right="0" w:firstLine="0"/>
                                <w:jc w:val="left"/>
                              </w:pPr>
                              <w:r>
                                <w:rPr>
                                  <w:sz w:val="20"/>
                                </w:rPr>
                                <w:t>(2023)</w:t>
                              </w:r>
                            </w:p>
                          </w:txbxContent>
                        </wps:txbx>
                        <wps:bodyPr horzOverflow="overflow" vert="horz" lIns="0" tIns="0" rIns="0" bIns="0" rtlCol="0">
                          <a:noAutofit/>
                        </wps:bodyPr>
                      </wps:wsp>
                      <wps:wsp>
                        <wps:cNvPr id="3164" name="Rectangle 3164"/>
                        <wps:cNvSpPr/>
                        <wps:spPr>
                          <a:xfrm>
                            <a:off x="1976120" y="2385584"/>
                            <a:ext cx="46741" cy="187581"/>
                          </a:xfrm>
                          <a:prstGeom prst="rect">
                            <a:avLst/>
                          </a:prstGeom>
                          <a:ln>
                            <a:noFill/>
                          </a:ln>
                        </wps:spPr>
                        <wps:txbx>
                          <w:txbxContent>
                            <w:p w:rsidR="00130AB6" w:rsidRDefault="002C7D32">
                              <w:pPr>
                                <w:spacing w:after="160" w:line="259" w:lineRule="auto"/>
                                <w:ind w:left="0" w:right="0" w:firstLine="0"/>
                                <w:jc w:val="left"/>
                              </w:pPr>
                              <w:r>
                                <w:rPr>
                                  <w:sz w:val="20"/>
                                </w:rPr>
                                <w:t>.</w:t>
                              </w:r>
                            </w:p>
                          </w:txbxContent>
                        </wps:txbx>
                        <wps:bodyPr horzOverflow="overflow" vert="horz" lIns="0" tIns="0" rIns="0" bIns="0" rtlCol="0">
                          <a:noAutofit/>
                        </wps:bodyPr>
                      </wps:wsp>
                      <wps:wsp>
                        <wps:cNvPr id="3165" name="Rectangle 3165"/>
                        <wps:cNvSpPr/>
                        <wps:spPr>
                          <a:xfrm>
                            <a:off x="2012696" y="2385584"/>
                            <a:ext cx="46741" cy="187581"/>
                          </a:xfrm>
                          <a:prstGeom prst="rect">
                            <a:avLst/>
                          </a:prstGeom>
                          <a:ln>
                            <a:noFill/>
                          </a:ln>
                        </wps:spPr>
                        <wps:txbx>
                          <w:txbxContent>
                            <w:p w:rsidR="00130AB6" w:rsidRDefault="002C7D32">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91" name="Shape 3291"/>
                        <wps:cNvSpPr/>
                        <wps:spPr>
                          <a:xfrm>
                            <a:off x="2252218" y="463868"/>
                            <a:ext cx="1266698" cy="1303909"/>
                          </a:xfrm>
                          <a:custGeom>
                            <a:avLst/>
                            <a:gdLst/>
                            <a:ahLst/>
                            <a:cxnLst/>
                            <a:rect l="0" t="0" r="0" b="0"/>
                            <a:pathLst>
                              <a:path w="1266698" h="1303909">
                                <a:moveTo>
                                  <a:pt x="614807" y="0"/>
                                </a:moveTo>
                                <a:cubicBezTo>
                                  <a:pt x="974852" y="0"/>
                                  <a:pt x="1266698" y="291973"/>
                                  <a:pt x="1266698" y="652018"/>
                                </a:cubicBezTo>
                                <a:cubicBezTo>
                                  <a:pt x="1266698" y="1012063"/>
                                  <a:pt x="974852" y="1303909"/>
                                  <a:pt x="614807" y="1303909"/>
                                </a:cubicBezTo>
                                <a:cubicBezTo>
                                  <a:pt x="338455" y="1303909"/>
                                  <a:pt x="92075" y="1129665"/>
                                  <a:pt x="0" y="868934"/>
                                </a:cubicBezTo>
                                <a:lnTo>
                                  <a:pt x="614807" y="652018"/>
                                </a:lnTo>
                                <a:lnTo>
                                  <a:pt x="61480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92" name="Shape 3292"/>
                        <wps:cNvSpPr/>
                        <wps:spPr>
                          <a:xfrm>
                            <a:off x="2252218" y="463868"/>
                            <a:ext cx="1266698" cy="1303909"/>
                          </a:xfrm>
                          <a:custGeom>
                            <a:avLst/>
                            <a:gdLst/>
                            <a:ahLst/>
                            <a:cxnLst/>
                            <a:rect l="0" t="0" r="0" b="0"/>
                            <a:pathLst>
                              <a:path w="1266698" h="1303909">
                                <a:moveTo>
                                  <a:pt x="614807" y="0"/>
                                </a:moveTo>
                                <a:cubicBezTo>
                                  <a:pt x="974852" y="0"/>
                                  <a:pt x="1266698" y="291973"/>
                                  <a:pt x="1266698" y="652018"/>
                                </a:cubicBezTo>
                                <a:cubicBezTo>
                                  <a:pt x="1266698" y="1012063"/>
                                  <a:pt x="974852" y="1303909"/>
                                  <a:pt x="614807" y="1303909"/>
                                </a:cubicBezTo>
                                <a:cubicBezTo>
                                  <a:pt x="338455" y="1303909"/>
                                  <a:pt x="92075" y="1129665"/>
                                  <a:pt x="0" y="868934"/>
                                </a:cubicBezTo>
                                <a:lnTo>
                                  <a:pt x="614807" y="652018"/>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293" name="Shape 3293"/>
                        <wps:cNvSpPr/>
                        <wps:spPr>
                          <a:xfrm>
                            <a:off x="2188972" y="791020"/>
                            <a:ext cx="678053" cy="541782"/>
                          </a:xfrm>
                          <a:custGeom>
                            <a:avLst/>
                            <a:gdLst/>
                            <a:ahLst/>
                            <a:cxnLst/>
                            <a:rect l="0" t="0" r="0" b="0"/>
                            <a:pathLst>
                              <a:path w="678053" h="541782">
                                <a:moveTo>
                                  <a:pt x="112776" y="0"/>
                                </a:moveTo>
                                <a:lnTo>
                                  <a:pt x="678053" y="324866"/>
                                </a:lnTo>
                                <a:lnTo>
                                  <a:pt x="63246" y="541782"/>
                                </a:lnTo>
                                <a:cubicBezTo>
                                  <a:pt x="0" y="362585"/>
                                  <a:pt x="18161" y="164846"/>
                                  <a:pt x="112776" y="0"/>
                                </a:cubicBezTo>
                                <a:close/>
                              </a:path>
                            </a:pathLst>
                          </a:custGeom>
                          <a:ln w="0" cap="flat">
                            <a:round/>
                          </a:ln>
                        </wps:spPr>
                        <wps:style>
                          <a:lnRef idx="0">
                            <a:srgbClr val="000000">
                              <a:alpha val="0"/>
                            </a:srgbClr>
                          </a:lnRef>
                          <a:fillRef idx="1">
                            <a:srgbClr val="ED7D31"/>
                          </a:fillRef>
                          <a:effectRef idx="0">
                            <a:scrgbClr r="0" g="0" b="0"/>
                          </a:effectRef>
                          <a:fontRef idx="none"/>
                        </wps:style>
                        <wps:bodyPr/>
                      </wps:wsp>
                      <wps:wsp>
                        <wps:cNvPr id="3294" name="Shape 3294"/>
                        <wps:cNvSpPr/>
                        <wps:spPr>
                          <a:xfrm>
                            <a:off x="2188972" y="791020"/>
                            <a:ext cx="678053" cy="541782"/>
                          </a:xfrm>
                          <a:custGeom>
                            <a:avLst/>
                            <a:gdLst/>
                            <a:ahLst/>
                            <a:cxnLst/>
                            <a:rect l="0" t="0" r="0" b="0"/>
                            <a:pathLst>
                              <a:path w="678053" h="541782">
                                <a:moveTo>
                                  <a:pt x="63246" y="541782"/>
                                </a:moveTo>
                                <a:cubicBezTo>
                                  <a:pt x="0" y="362585"/>
                                  <a:pt x="18161" y="164846"/>
                                  <a:pt x="112776" y="0"/>
                                </a:cubicBezTo>
                                <a:lnTo>
                                  <a:pt x="678053" y="324866"/>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295" name="Shape 3295"/>
                        <wps:cNvSpPr/>
                        <wps:spPr>
                          <a:xfrm>
                            <a:off x="2301748" y="463868"/>
                            <a:ext cx="565277" cy="652018"/>
                          </a:xfrm>
                          <a:custGeom>
                            <a:avLst/>
                            <a:gdLst/>
                            <a:ahLst/>
                            <a:cxnLst/>
                            <a:rect l="0" t="0" r="0" b="0"/>
                            <a:pathLst>
                              <a:path w="565277" h="652018">
                                <a:moveTo>
                                  <a:pt x="565277" y="0"/>
                                </a:moveTo>
                                <a:lnTo>
                                  <a:pt x="565277" y="652018"/>
                                </a:lnTo>
                                <a:lnTo>
                                  <a:pt x="0" y="327152"/>
                                </a:lnTo>
                                <a:cubicBezTo>
                                  <a:pt x="116332" y="124841"/>
                                  <a:pt x="331851" y="0"/>
                                  <a:pt x="565277" y="0"/>
                                </a:cubicBezTo>
                                <a:close/>
                              </a:path>
                            </a:pathLst>
                          </a:custGeom>
                          <a:ln w="0" cap="flat">
                            <a:round/>
                          </a:ln>
                        </wps:spPr>
                        <wps:style>
                          <a:lnRef idx="0">
                            <a:srgbClr val="000000">
                              <a:alpha val="0"/>
                            </a:srgbClr>
                          </a:lnRef>
                          <a:fillRef idx="1">
                            <a:srgbClr val="A5A5A5"/>
                          </a:fillRef>
                          <a:effectRef idx="0">
                            <a:scrgbClr r="0" g="0" b="0"/>
                          </a:effectRef>
                          <a:fontRef idx="none"/>
                        </wps:style>
                        <wps:bodyPr/>
                      </wps:wsp>
                      <wps:wsp>
                        <wps:cNvPr id="3296" name="Shape 3296"/>
                        <wps:cNvSpPr/>
                        <wps:spPr>
                          <a:xfrm>
                            <a:off x="2301748" y="463868"/>
                            <a:ext cx="565277" cy="652018"/>
                          </a:xfrm>
                          <a:custGeom>
                            <a:avLst/>
                            <a:gdLst/>
                            <a:ahLst/>
                            <a:cxnLst/>
                            <a:rect l="0" t="0" r="0" b="0"/>
                            <a:pathLst>
                              <a:path w="565277" h="652018">
                                <a:moveTo>
                                  <a:pt x="0" y="327152"/>
                                </a:moveTo>
                                <a:cubicBezTo>
                                  <a:pt x="116332" y="124841"/>
                                  <a:pt x="331851" y="0"/>
                                  <a:pt x="565277" y="0"/>
                                </a:cubicBezTo>
                                <a:lnTo>
                                  <a:pt x="565277" y="652018"/>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60338" name="Shape 60338"/>
                        <wps:cNvSpPr/>
                        <wps:spPr>
                          <a:xfrm>
                            <a:off x="369824" y="1991621"/>
                            <a:ext cx="76638" cy="76638"/>
                          </a:xfrm>
                          <a:custGeom>
                            <a:avLst/>
                            <a:gdLst/>
                            <a:ahLst/>
                            <a:cxnLst/>
                            <a:rect l="0" t="0" r="0" b="0"/>
                            <a:pathLst>
                              <a:path w="76638" h="76638">
                                <a:moveTo>
                                  <a:pt x="0" y="0"/>
                                </a:moveTo>
                                <a:lnTo>
                                  <a:pt x="76638" y="0"/>
                                </a:lnTo>
                                <a:lnTo>
                                  <a:pt x="76638" y="76638"/>
                                </a:lnTo>
                                <a:lnTo>
                                  <a:pt x="0" y="7663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3298" name="Shape 3298"/>
                        <wps:cNvSpPr/>
                        <wps:spPr>
                          <a:xfrm>
                            <a:off x="369824" y="1991621"/>
                            <a:ext cx="76638" cy="76638"/>
                          </a:xfrm>
                          <a:custGeom>
                            <a:avLst/>
                            <a:gdLst/>
                            <a:ahLst/>
                            <a:cxnLst/>
                            <a:rect l="0" t="0" r="0" b="0"/>
                            <a:pathLst>
                              <a:path w="76638" h="76638">
                                <a:moveTo>
                                  <a:pt x="0" y="76638"/>
                                </a:moveTo>
                                <a:lnTo>
                                  <a:pt x="76638" y="76638"/>
                                </a:lnTo>
                                <a:lnTo>
                                  <a:pt x="76638"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299" name="Rectangle 3299"/>
                        <wps:cNvSpPr/>
                        <wps:spPr>
                          <a:xfrm>
                            <a:off x="480441" y="1941513"/>
                            <a:ext cx="371768" cy="226002"/>
                          </a:xfrm>
                          <a:prstGeom prst="rect">
                            <a:avLst/>
                          </a:prstGeom>
                          <a:ln>
                            <a:noFill/>
                          </a:ln>
                        </wps:spPr>
                        <wps:txbx>
                          <w:txbxContent>
                            <w:p w:rsidR="00130AB6" w:rsidRDefault="002C7D32">
                              <w:pPr>
                                <w:spacing w:after="160" w:line="259" w:lineRule="auto"/>
                                <w:ind w:left="0" w:right="0" w:firstLine="0"/>
                                <w:jc w:val="left"/>
                              </w:pPr>
                              <w:r>
                                <w:rPr>
                                  <w:color w:val="595959"/>
                                </w:rPr>
                                <w:t>Não</w:t>
                              </w:r>
                            </w:p>
                          </w:txbxContent>
                        </wps:txbx>
                        <wps:bodyPr horzOverflow="overflow" vert="horz" lIns="0" tIns="0" rIns="0" bIns="0" rtlCol="0">
                          <a:noAutofit/>
                        </wps:bodyPr>
                      </wps:wsp>
                      <wps:wsp>
                        <wps:cNvPr id="60339" name="Shape 60339"/>
                        <wps:cNvSpPr/>
                        <wps:spPr>
                          <a:xfrm>
                            <a:off x="837946" y="1991621"/>
                            <a:ext cx="76638" cy="76638"/>
                          </a:xfrm>
                          <a:custGeom>
                            <a:avLst/>
                            <a:gdLst/>
                            <a:ahLst/>
                            <a:cxnLst/>
                            <a:rect l="0" t="0" r="0" b="0"/>
                            <a:pathLst>
                              <a:path w="76638" h="76638">
                                <a:moveTo>
                                  <a:pt x="0" y="0"/>
                                </a:moveTo>
                                <a:lnTo>
                                  <a:pt x="76638" y="0"/>
                                </a:lnTo>
                                <a:lnTo>
                                  <a:pt x="76638" y="76638"/>
                                </a:lnTo>
                                <a:lnTo>
                                  <a:pt x="0" y="7663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3301" name="Shape 3301"/>
                        <wps:cNvSpPr/>
                        <wps:spPr>
                          <a:xfrm>
                            <a:off x="837946" y="1991621"/>
                            <a:ext cx="76638" cy="76638"/>
                          </a:xfrm>
                          <a:custGeom>
                            <a:avLst/>
                            <a:gdLst/>
                            <a:ahLst/>
                            <a:cxnLst/>
                            <a:rect l="0" t="0" r="0" b="0"/>
                            <a:pathLst>
                              <a:path w="76638" h="76638">
                                <a:moveTo>
                                  <a:pt x="0" y="76638"/>
                                </a:moveTo>
                                <a:lnTo>
                                  <a:pt x="76638" y="76638"/>
                                </a:lnTo>
                                <a:lnTo>
                                  <a:pt x="76638"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02" name="Rectangle 3302"/>
                        <wps:cNvSpPr/>
                        <wps:spPr>
                          <a:xfrm>
                            <a:off x="948563" y="1941513"/>
                            <a:ext cx="2844813" cy="226002"/>
                          </a:xfrm>
                          <a:prstGeom prst="rect">
                            <a:avLst/>
                          </a:prstGeom>
                          <a:ln>
                            <a:noFill/>
                          </a:ln>
                        </wps:spPr>
                        <wps:txbx>
                          <w:txbxContent>
                            <w:p w:rsidR="00130AB6" w:rsidRDefault="002C7D32">
                              <w:pPr>
                                <w:spacing w:after="160" w:line="259" w:lineRule="auto"/>
                                <w:ind w:left="0" w:right="0" w:firstLine="0"/>
                                <w:jc w:val="left"/>
                              </w:pPr>
                              <w:r>
                                <w:rPr>
                                  <w:color w:val="595959"/>
                                </w:rPr>
                                <w:t>Sim, sendo parentes de 1º grau</w:t>
                              </w:r>
                            </w:p>
                          </w:txbxContent>
                        </wps:txbx>
                        <wps:bodyPr horzOverflow="overflow" vert="horz" lIns="0" tIns="0" rIns="0" bIns="0" rtlCol="0">
                          <a:noAutofit/>
                        </wps:bodyPr>
                      </wps:wsp>
                      <wps:wsp>
                        <wps:cNvPr id="60340" name="Shape 60340"/>
                        <wps:cNvSpPr/>
                        <wps:spPr>
                          <a:xfrm>
                            <a:off x="3166618" y="1991621"/>
                            <a:ext cx="76638" cy="76638"/>
                          </a:xfrm>
                          <a:custGeom>
                            <a:avLst/>
                            <a:gdLst/>
                            <a:ahLst/>
                            <a:cxnLst/>
                            <a:rect l="0" t="0" r="0" b="0"/>
                            <a:pathLst>
                              <a:path w="76638" h="76638">
                                <a:moveTo>
                                  <a:pt x="0" y="0"/>
                                </a:moveTo>
                                <a:lnTo>
                                  <a:pt x="76638" y="0"/>
                                </a:lnTo>
                                <a:lnTo>
                                  <a:pt x="76638" y="76638"/>
                                </a:lnTo>
                                <a:lnTo>
                                  <a:pt x="0" y="76638"/>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3304" name="Shape 3304"/>
                        <wps:cNvSpPr/>
                        <wps:spPr>
                          <a:xfrm>
                            <a:off x="3166618" y="1991621"/>
                            <a:ext cx="76638" cy="76638"/>
                          </a:xfrm>
                          <a:custGeom>
                            <a:avLst/>
                            <a:gdLst/>
                            <a:ahLst/>
                            <a:cxnLst/>
                            <a:rect l="0" t="0" r="0" b="0"/>
                            <a:pathLst>
                              <a:path w="76638" h="76638">
                                <a:moveTo>
                                  <a:pt x="0" y="76638"/>
                                </a:moveTo>
                                <a:lnTo>
                                  <a:pt x="76638" y="76638"/>
                                </a:lnTo>
                                <a:lnTo>
                                  <a:pt x="76638"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3305" name="Rectangle 3305"/>
                        <wps:cNvSpPr/>
                        <wps:spPr>
                          <a:xfrm>
                            <a:off x="3277616" y="1941513"/>
                            <a:ext cx="2844813" cy="226002"/>
                          </a:xfrm>
                          <a:prstGeom prst="rect">
                            <a:avLst/>
                          </a:prstGeom>
                          <a:ln>
                            <a:noFill/>
                          </a:ln>
                        </wps:spPr>
                        <wps:txbx>
                          <w:txbxContent>
                            <w:p w:rsidR="00130AB6" w:rsidRDefault="002C7D32">
                              <w:pPr>
                                <w:spacing w:after="160" w:line="259" w:lineRule="auto"/>
                                <w:ind w:left="0" w:right="0" w:firstLine="0"/>
                                <w:jc w:val="left"/>
                              </w:pPr>
                              <w:r>
                                <w:rPr>
                                  <w:color w:val="595959"/>
                                </w:rPr>
                                <w:t>Sim, sendo parentes de 2º grau</w:t>
                              </w:r>
                            </w:p>
                          </w:txbxContent>
                        </wps:txbx>
                        <wps:bodyPr horzOverflow="overflow" vert="horz" lIns="0" tIns="0" rIns="0" bIns="0" rtlCol="0">
                          <a:noAutofit/>
                        </wps:bodyPr>
                      </wps:wsp>
                      <wps:wsp>
                        <wps:cNvPr id="3306" name="Shape 3306"/>
                        <wps:cNvSpPr/>
                        <wps:spPr>
                          <a:xfrm>
                            <a:off x="0" y="0"/>
                            <a:ext cx="5734050" cy="2228533"/>
                          </a:xfrm>
                          <a:custGeom>
                            <a:avLst/>
                            <a:gdLst/>
                            <a:ahLst/>
                            <a:cxnLst/>
                            <a:rect l="0" t="0" r="0" b="0"/>
                            <a:pathLst>
                              <a:path w="5734050" h="2228533">
                                <a:moveTo>
                                  <a:pt x="5734050" y="0"/>
                                </a:moveTo>
                                <a:lnTo>
                                  <a:pt x="5734050" y="2228533"/>
                                </a:lnTo>
                                <a:lnTo>
                                  <a:pt x="0" y="2228533"/>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554" style="width:454.337pt;height:198.947pt;mso-position-horizontal-relative:char;mso-position-vertical-relative:line" coordsize="57700,25266">
                <v:rect id="Rectangle 3157" style="position:absolute;width:467;height:1875;left:57349;top:21158;" filled="f" stroked="f">
                  <v:textbox inset="0,0,0,0">
                    <w:txbxContent>
                      <w:p>
                        <w:pPr>
                          <w:spacing w:before="0" w:after="160" w:line="259" w:lineRule="auto"/>
                          <w:ind w:left="0" w:right="0" w:firstLine="0"/>
                          <w:jc w:val="left"/>
                        </w:pPr>
                        <w:r>
                          <w:rPr>
                            <w:sz w:val="20"/>
                          </w:rPr>
                          <w:t xml:space="preserve"> </w:t>
                        </w:r>
                      </w:p>
                    </w:txbxContent>
                  </v:textbox>
                </v:rect>
                <v:rect id="Rectangle 3158" style="position:absolute;width:5226;height:1875;left:6;top:23855;" filled="f" stroked="f">
                  <v:textbox inset="0,0,0,0">
                    <w:txbxContent>
                      <w:p>
                        <w:pPr>
                          <w:spacing w:before="0" w:after="160" w:line="259" w:lineRule="auto"/>
                          <w:ind w:left="0" w:right="0" w:firstLine="0"/>
                          <w:jc w:val="left"/>
                        </w:pPr>
                        <w:r>
                          <w:rPr>
                            <w:sz w:val="20"/>
                          </w:rPr>
                          <w:t xml:space="preserve">Fonte: </w:t>
                        </w:r>
                      </w:p>
                    </w:txbxContent>
                  </v:textbox>
                </v:rect>
                <v:rect id="Rectangle 3159" style="position:absolute;width:11347;height:1875;left:3953;top:23855;" filled="f" stroked="f">
                  <v:textbox inset="0,0,0,0">
                    <w:txbxContent>
                      <w:p>
                        <w:pPr>
                          <w:spacing w:before="0" w:after="160" w:line="259" w:lineRule="auto"/>
                          <w:ind w:left="0" w:right="0" w:firstLine="0"/>
                          <w:jc w:val="left"/>
                        </w:pPr>
                        <w:r>
                          <w:rPr>
                            <w:sz w:val="20"/>
                          </w:rPr>
                          <w:t xml:space="preserve">Elaborado pelo</w:t>
                        </w:r>
                      </w:p>
                    </w:txbxContent>
                  </v:textbox>
                </v:rect>
                <v:rect id="Rectangle 3160" style="position:absolute;width:467;height:1875;left:12487;top:23855;" filled="f" stroked="f">
                  <v:textbox inset="0,0,0,0">
                    <w:txbxContent>
                      <w:p>
                        <w:pPr>
                          <w:spacing w:before="0" w:after="160" w:line="259" w:lineRule="auto"/>
                          <w:ind w:left="0" w:right="0" w:firstLine="0"/>
                          <w:jc w:val="left"/>
                        </w:pPr>
                        <w:r>
                          <w:rPr>
                            <w:sz w:val="20"/>
                          </w:rPr>
                          <w:t xml:space="preserve"> </w:t>
                        </w:r>
                      </w:p>
                    </w:txbxContent>
                  </v:textbox>
                </v:rect>
                <v:rect id="Rectangle 3161" style="position:absolute;width:3840;height:1875;left:12857;top:23855;" filled="f" stroked="f">
                  <v:textbox inset="0,0,0,0">
                    <w:txbxContent>
                      <w:p>
                        <w:pPr>
                          <w:spacing w:before="0" w:after="160" w:line="259" w:lineRule="auto"/>
                          <w:ind w:left="0" w:right="0" w:firstLine="0"/>
                          <w:jc w:val="left"/>
                        </w:pPr>
                        <w:r>
                          <w:rPr>
                            <w:sz w:val="20"/>
                          </w:rPr>
                          <w:t xml:space="preserve">autor</w:t>
                        </w:r>
                      </w:p>
                    </w:txbxContent>
                  </v:textbox>
                </v:rect>
                <v:rect id="Rectangle 3162" style="position:absolute;width:467;height:1875;left:15753;top:23855;" filled="f" stroked="f">
                  <v:textbox inset="0,0,0,0">
                    <w:txbxContent>
                      <w:p>
                        <w:pPr>
                          <w:spacing w:before="0" w:after="160" w:line="259" w:lineRule="auto"/>
                          <w:ind w:left="0" w:right="0" w:firstLine="0"/>
                          <w:jc w:val="left"/>
                        </w:pPr>
                        <w:r>
                          <w:rPr>
                            <w:sz w:val="20"/>
                          </w:rPr>
                          <w:t xml:space="preserve"> </w:t>
                        </w:r>
                      </w:p>
                    </w:txbxContent>
                  </v:textbox>
                </v:rect>
                <v:rect id="Rectangle 3163" style="position:absolute;width:4853;height:1875;left:16103;top:23855;" filled="f" stroked="f">
                  <v:textbox inset="0,0,0,0">
                    <w:txbxContent>
                      <w:p>
                        <w:pPr>
                          <w:spacing w:before="0" w:after="160" w:line="259" w:lineRule="auto"/>
                          <w:ind w:left="0" w:right="0" w:firstLine="0"/>
                          <w:jc w:val="left"/>
                        </w:pPr>
                        <w:r>
                          <w:rPr>
                            <w:sz w:val="20"/>
                          </w:rPr>
                          <w:t xml:space="preserve">(2023)</w:t>
                        </w:r>
                      </w:p>
                    </w:txbxContent>
                  </v:textbox>
                </v:rect>
                <v:rect id="Rectangle 3164" style="position:absolute;width:467;height:1875;left:19761;top:23855;" filled="f" stroked="f">
                  <v:textbox inset="0,0,0,0">
                    <w:txbxContent>
                      <w:p>
                        <w:pPr>
                          <w:spacing w:before="0" w:after="160" w:line="259" w:lineRule="auto"/>
                          <w:ind w:left="0" w:right="0" w:firstLine="0"/>
                          <w:jc w:val="left"/>
                        </w:pPr>
                        <w:r>
                          <w:rPr>
                            <w:sz w:val="20"/>
                          </w:rPr>
                          <w:t xml:space="preserve">.</w:t>
                        </w:r>
                      </w:p>
                    </w:txbxContent>
                  </v:textbox>
                </v:rect>
                <v:rect id="Rectangle 3165" style="position:absolute;width:467;height:1875;left:20126;top:23855;" filled="f" stroked="f">
                  <v:textbox inset="0,0,0,0">
                    <w:txbxContent>
                      <w:p>
                        <w:pPr>
                          <w:spacing w:before="0" w:after="160" w:line="259" w:lineRule="auto"/>
                          <w:ind w:left="0" w:right="0" w:firstLine="0"/>
                          <w:jc w:val="left"/>
                        </w:pPr>
                        <w:r>
                          <w:rPr>
                            <w:sz w:val="20"/>
                          </w:rPr>
                          <w:t xml:space="preserve"> </w:t>
                        </w:r>
                      </w:p>
                    </w:txbxContent>
                  </v:textbox>
                </v:rect>
                <v:shape id="Shape 3291" style="position:absolute;width:12666;height:13039;left:22522;top:4638;" coordsize="1266698,1303909" path="m614807,0c974852,0,1266698,291973,1266698,652018c1266698,1012063,974852,1303909,614807,1303909c338455,1303909,92075,1129665,0,868934l614807,652018l614807,0x">
                  <v:stroke weight="0pt" endcap="flat" joinstyle="miter" miterlimit="10" on="false" color="#000000" opacity="0"/>
                  <v:fill on="true" color="#4472c4"/>
                </v:shape>
                <v:shape id="Shape 3292" style="position:absolute;width:12666;height:13039;left:22522;top:4638;" coordsize="1266698,1303909" path="m614807,0c974852,0,1266698,291973,1266698,652018c1266698,1012063,974852,1303909,614807,1303909c338455,1303909,92075,1129665,0,868934l614807,652018x">
                  <v:stroke weight="1.5pt" endcap="flat" joinstyle="round" on="true" color="#ffffff"/>
                  <v:fill on="false" color="#000000" opacity="0"/>
                </v:shape>
                <v:shape id="Shape 3293" style="position:absolute;width:6780;height:5417;left:21889;top:7910;" coordsize="678053,541782" path="m112776,0l678053,324866l63246,541782c0,362585,18161,164846,112776,0x">
                  <v:stroke weight="0pt" endcap="flat" joinstyle="round" on="false" color="#000000" opacity="0"/>
                  <v:fill on="true" color="#ed7d31"/>
                </v:shape>
                <v:shape id="Shape 3294" style="position:absolute;width:6780;height:5417;left:21889;top:7910;" coordsize="678053,541782" path="m63246,541782c0,362585,18161,164846,112776,0l678053,324866x">
                  <v:stroke weight="1.5pt" endcap="flat" joinstyle="round" on="true" color="#ffffff"/>
                  <v:fill on="false" color="#000000" opacity="0"/>
                </v:shape>
                <v:shape id="Shape 3295" style="position:absolute;width:5652;height:6520;left:23017;top:4638;" coordsize="565277,652018" path="m565277,0l565277,652018l0,327152c116332,124841,331851,0,565277,0x">
                  <v:stroke weight="0pt" endcap="flat" joinstyle="round" on="false" color="#000000" opacity="0"/>
                  <v:fill on="true" color="#a5a5a5"/>
                </v:shape>
                <v:shape id="Shape 3296" style="position:absolute;width:5652;height:6520;left:23017;top:4638;" coordsize="565277,652018" path="m0,327152c116332,124841,331851,0,565277,0l565277,652018x">
                  <v:stroke weight="1.5pt" endcap="flat" joinstyle="round" on="true" color="#ffffff"/>
                  <v:fill on="false" color="#000000" opacity="0"/>
                </v:shape>
                <v:shape id="Shape 60341" style="position:absolute;width:766;height:766;left:3698;top:19916;" coordsize="76638,76638" path="m0,0l76638,0l76638,76638l0,76638l0,0">
                  <v:stroke weight="0pt" endcap="flat" joinstyle="round" on="false" color="#000000" opacity="0"/>
                  <v:fill on="true" color="#4472c4"/>
                </v:shape>
                <v:shape id="Shape 3298" style="position:absolute;width:766;height:766;left:3698;top:19916;" coordsize="76638,76638" path="m0,76638l76638,76638l76638,0l0,0x">
                  <v:stroke weight="1.5pt" endcap="flat" joinstyle="round" on="true" color="#ffffff"/>
                  <v:fill on="false" color="#000000" opacity="0"/>
                </v:shape>
                <v:rect id="Rectangle 3299" style="position:absolute;width:3717;height:2260;left:4804;top:19415;" filled="f" stroked="f">
                  <v:textbox inset="0,0,0,0">
                    <w:txbxContent>
                      <w:p>
                        <w:pPr>
                          <w:spacing w:before="0" w:after="160" w:line="259" w:lineRule="auto"/>
                          <w:ind w:left="0" w:right="0" w:firstLine="0"/>
                          <w:jc w:val="left"/>
                        </w:pPr>
                        <w:r>
                          <w:rPr>
                            <w:color w:val="595959"/>
                          </w:rPr>
                          <w:t xml:space="preserve">Não</w:t>
                        </w:r>
                      </w:p>
                    </w:txbxContent>
                  </v:textbox>
                </v:rect>
                <v:shape id="Shape 60342" style="position:absolute;width:766;height:766;left:8379;top:19916;" coordsize="76638,76638" path="m0,0l76638,0l76638,76638l0,76638l0,0">
                  <v:stroke weight="0pt" endcap="flat" joinstyle="round" on="false" color="#000000" opacity="0"/>
                  <v:fill on="true" color="#ed7d31"/>
                </v:shape>
                <v:shape id="Shape 3301" style="position:absolute;width:766;height:766;left:8379;top:19916;" coordsize="76638,76638" path="m0,76638l76638,76638l76638,0l0,0x">
                  <v:stroke weight="1.5pt" endcap="flat" joinstyle="round" on="true" color="#ffffff"/>
                  <v:fill on="false" color="#000000" opacity="0"/>
                </v:shape>
                <v:rect id="Rectangle 3302" style="position:absolute;width:28448;height:2260;left:9485;top:19415;" filled="f" stroked="f">
                  <v:textbox inset="0,0,0,0">
                    <w:txbxContent>
                      <w:p>
                        <w:pPr>
                          <w:spacing w:before="0" w:after="160" w:line="259" w:lineRule="auto"/>
                          <w:ind w:left="0" w:right="0" w:firstLine="0"/>
                          <w:jc w:val="left"/>
                        </w:pPr>
                        <w:r>
                          <w:rPr>
                            <w:color w:val="595959"/>
                          </w:rPr>
                          <w:t xml:space="preserve">Sim, sendo parentes de 1º grau</w:t>
                        </w:r>
                      </w:p>
                    </w:txbxContent>
                  </v:textbox>
                </v:rect>
                <v:shape id="Shape 60343" style="position:absolute;width:766;height:766;left:31666;top:19916;" coordsize="76638,76638" path="m0,0l76638,0l76638,76638l0,76638l0,0">
                  <v:stroke weight="0pt" endcap="flat" joinstyle="round" on="false" color="#000000" opacity="0"/>
                  <v:fill on="true" color="#a5a5a5"/>
                </v:shape>
                <v:shape id="Shape 3304" style="position:absolute;width:766;height:766;left:31666;top:19916;" coordsize="76638,76638" path="m0,76638l76638,76638l76638,0l0,0x">
                  <v:stroke weight="1.5pt" endcap="flat" joinstyle="round" on="true" color="#ffffff"/>
                  <v:fill on="false" color="#000000" opacity="0"/>
                </v:shape>
                <v:rect id="Rectangle 3305" style="position:absolute;width:28448;height:2260;left:32776;top:19415;" filled="f" stroked="f">
                  <v:textbox inset="0,0,0,0">
                    <w:txbxContent>
                      <w:p>
                        <w:pPr>
                          <w:spacing w:before="0" w:after="160" w:line="259" w:lineRule="auto"/>
                          <w:ind w:left="0" w:right="0" w:firstLine="0"/>
                          <w:jc w:val="left"/>
                        </w:pPr>
                        <w:r>
                          <w:rPr>
                            <w:color w:val="595959"/>
                          </w:rPr>
                          <w:t xml:space="preserve">Sim, sendo parentes de 2º grau</w:t>
                        </w:r>
                      </w:p>
                    </w:txbxContent>
                  </v:textbox>
                </v:rect>
                <v:shape id="Shape 3306" style="position:absolute;width:57340;height:22285;left:0;top:0;" coordsize="5734050,2228533" path="m5734050,0l5734050,2228533l0,2228533l0,0">
                  <v:stroke weight="0.75pt" endcap="flat" joinstyle="round" on="true" color="#d9d9d9"/>
                  <v:fill on="false" color="#000000" opacity="0"/>
                </v:shape>
              </v:group>
            </w:pict>
          </mc:Fallback>
        </mc:AlternateContent>
      </w:r>
    </w:p>
    <w:p w:rsidR="00130AB6" w:rsidRDefault="002C7D32">
      <w:pPr>
        <w:spacing w:after="355" w:line="259" w:lineRule="auto"/>
        <w:ind w:left="0" w:right="0" w:firstLine="0"/>
        <w:jc w:val="left"/>
      </w:pPr>
      <w:r>
        <w:rPr>
          <w:b/>
        </w:rPr>
        <w:t xml:space="preserve"> </w:t>
      </w:r>
    </w:p>
    <w:p w:rsidR="00130AB6" w:rsidRDefault="002C7D32">
      <w:pPr>
        <w:pStyle w:val="Ttulo2"/>
        <w:ind w:left="387" w:right="0" w:hanging="402"/>
      </w:pPr>
      <w:bookmarkStart w:id="20" w:name="_Toc59552"/>
      <w:r>
        <w:t xml:space="preserve">Perfil clínico </w:t>
      </w:r>
      <w:bookmarkEnd w:id="20"/>
    </w:p>
    <w:p w:rsidR="00130AB6" w:rsidRDefault="002C7D32">
      <w:pPr>
        <w:spacing w:after="316" w:line="259" w:lineRule="auto"/>
        <w:ind w:left="-5" w:right="167"/>
      </w:pPr>
      <w:r>
        <w:t xml:space="preserve">5.4.1 Sinais e sintomas </w:t>
      </w:r>
    </w:p>
    <w:p w:rsidR="00130AB6" w:rsidRDefault="002C7D32">
      <w:pPr>
        <w:ind w:left="-5" w:right="167"/>
      </w:pPr>
      <w:r>
        <w:t>Quanto as manifestações clínicas da doença, 93 (91,2%) participantes relataram que possuíam sintomas no momento do diagnóstico. Como primeira manife</w:t>
      </w:r>
      <w:r>
        <w:t xml:space="preserve">stação da doença, a diarreia foi referida em 25 (24,5%) indivíduos, a dor abdominal em 12 (11,8%) participantes, constipação em 11 (10,8%) e distensão abdominal em 11 (10,8%).  </w:t>
      </w:r>
    </w:p>
    <w:p w:rsidR="00130AB6" w:rsidRDefault="002C7D32">
      <w:pPr>
        <w:spacing w:after="198" w:line="360" w:lineRule="auto"/>
        <w:ind w:left="0" w:right="174" w:firstLine="0"/>
      </w:pPr>
      <w:r>
        <w:t>Ao serem questionados sobre os sintomas atuais relacionados a doença, f</w:t>
      </w:r>
      <w:r>
        <w:rPr>
          <w:color w:val="202124"/>
        </w:rPr>
        <w:t>latulência e</w:t>
      </w:r>
      <w:r>
        <w:rPr>
          <w:color w:val="FF0000"/>
        </w:rPr>
        <w:t xml:space="preserve"> </w:t>
      </w:r>
      <w:r>
        <w:t>distensão</w:t>
      </w:r>
      <w:r>
        <w:rPr>
          <w:color w:val="202124"/>
        </w:rPr>
        <w:t xml:space="preserve"> abdominal foram referidos por 98 (96,1%) indivíduos, respectivamente. Ainda, seguidos por dor abdominal em 97 (95,1%), constipação em 90 (88,2%), pirose em 89 (87,3%), diarreia em 84 (82,4%) e dor articular em 78 (76,5%). </w:t>
      </w:r>
    </w:p>
    <w:p w:rsidR="00130AB6" w:rsidRDefault="002C7D32">
      <w:pPr>
        <w:ind w:left="-5" w:right="167"/>
      </w:pPr>
      <w:r>
        <w:rPr>
          <w:color w:val="202124"/>
        </w:rPr>
        <w:t>Ademais, 7</w:t>
      </w:r>
      <w:r>
        <w:rPr>
          <w:color w:val="202124"/>
        </w:rPr>
        <w:t xml:space="preserve"> (6,9%) indivíduos referiram distúrbios odontológicos e, dentre eles, 5 participantes relataram úlceras aftosas, 4 relataram </w:t>
      </w:r>
      <w:r>
        <w:t xml:space="preserve">sensibilidade na mucosa oral e 3 sangramentos gengivais. Foram notados também distúrbios dermatológicos por 7 (6,9%) participantes </w:t>
      </w:r>
      <w:r>
        <w:t xml:space="preserve">e, dentre eles, 3 pessoas referiram erupções cutâneas, 2 referiram urticária, 2 referiram dermatite e 1 referiu ressecamento de pele.  </w:t>
      </w:r>
    </w:p>
    <w:p w:rsidR="00130AB6" w:rsidRDefault="002C7D32">
      <w:pPr>
        <w:ind w:left="-5" w:right="167"/>
      </w:pPr>
      <w:r>
        <w:t xml:space="preserve">Outros sinais e sintomas foram referidos pelos participantes e estão descritos na tabela abaixo. </w:t>
      </w:r>
    </w:p>
    <w:p w:rsidR="00130AB6" w:rsidRDefault="002C7D32">
      <w:pPr>
        <w:spacing w:after="4" w:line="250" w:lineRule="auto"/>
        <w:ind w:left="-5" w:right="0"/>
        <w:jc w:val="left"/>
      </w:pPr>
      <w:r>
        <w:rPr>
          <w:b/>
          <w:sz w:val="20"/>
        </w:rPr>
        <w:t xml:space="preserve">Gráfico 3: </w:t>
      </w:r>
      <w:r>
        <w:rPr>
          <w:sz w:val="20"/>
        </w:rPr>
        <w:t xml:space="preserve">Principais </w:t>
      </w:r>
      <w:r>
        <w:rPr>
          <w:sz w:val="20"/>
        </w:rPr>
        <w:t>manifestações clínicas dos portadores de doença celíaca residentes da Bahia em 2023.</w:t>
      </w:r>
      <w:r>
        <w:rPr>
          <w:rFonts w:ascii="Calibri" w:eastAsia="Calibri" w:hAnsi="Calibri" w:cs="Calibri"/>
          <w:sz w:val="22"/>
        </w:rPr>
        <w:t xml:space="preserve">  </w:t>
      </w:r>
    </w:p>
    <w:p w:rsidR="00130AB6" w:rsidRDefault="002C7D32">
      <w:pPr>
        <w:spacing w:after="209" w:line="259" w:lineRule="auto"/>
        <w:ind w:left="-19" w:right="0" w:firstLine="0"/>
        <w:jc w:val="left"/>
      </w:pPr>
      <w:r>
        <w:rPr>
          <w:noProof/>
        </w:rPr>
        <w:lastRenderedPageBreak/>
        <w:drawing>
          <wp:inline distT="0" distB="0" distL="0" distR="0">
            <wp:extent cx="5718049" cy="3325368"/>
            <wp:effectExtent l="0" t="0" r="0" b="0"/>
            <wp:docPr id="58022" name="Picture 58022"/>
            <wp:cNvGraphicFramePr/>
            <a:graphic xmlns:a="http://schemas.openxmlformats.org/drawingml/2006/main">
              <a:graphicData uri="http://schemas.openxmlformats.org/drawingml/2006/picture">
                <pic:pic xmlns:pic="http://schemas.openxmlformats.org/drawingml/2006/picture">
                  <pic:nvPicPr>
                    <pic:cNvPr id="58022" name="Picture 58022"/>
                    <pic:cNvPicPr/>
                  </pic:nvPicPr>
                  <pic:blipFill>
                    <a:blip r:embed="rId12"/>
                    <a:stretch>
                      <a:fillRect/>
                    </a:stretch>
                  </pic:blipFill>
                  <pic:spPr>
                    <a:xfrm>
                      <a:off x="0" y="0"/>
                      <a:ext cx="5718049" cy="3325368"/>
                    </a:xfrm>
                    <a:prstGeom prst="rect">
                      <a:avLst/>
                    </a:prstGeom>
                  </pic:spPr>
                </pic:pic>
              </a:graphicData>
            </a:graphic>
          </wp:inline>
        </w:drawing>
      </w:r>
    </w:p>
    <w:p w:rsidR="00130AB6" w:rsidRDefault="002C7D32">
      <w:pPr>
        <w:spacing w:after="316" w:line="259" w:lineRule="auto"/>
        <w:ind w:left="0" w:right="0" w:firstLine="0"/>
        <w:jc w:val="left"/>
      </w:pPr>
      <w:r>
        <w:t xml:space="preserve"> </w:t>
      </w:r>
    </w:p>
    <w:p w:rsidR="00130AB6" w:rsidRDefault="002C7D32">
      <w:pPr>
        <w:ind w:left="-5" w:right="167"/>
      </w:pPr>
      <w:r>
        <w:t xml:space="preserve">Alguns outros sintomas foram relatados em menor prevalência, porém evidenciam a variada manifestação da doença celíaca. Dentre eles, 2 (2%) </w:t>
      </w:r>
      <w:r>
        <w:t xml:space="preserve">participantes relataram emagrecimento, 2 (2%) relataram dores musculares, 2 (2%) relatam insônia, 2 (2%) relataram alterações menstruais, 1 (1%) relatou fraturas recorrentes, 1 (1%) relatou neuropatia e 1 (1%) relatou alterações na memória. </w:t>
      </w:r>
    </w:p>
    <w:p w:rsidR="00130AB6" w:rsidRDefault="002C7D32">
      <w:pPr>
        <w:ind w:left="-5" w:right="167"/>
      </w:pPr>
      <w:r>
        <w:t>Quanto aos sin</w:t>
      </w:r>
      <w:r>
        <w:t xml:space="preserve">tomas diários, 61 (59,8%) participantes relataram flatulência, 60 (58,8%) distensão abdominal, 31 (30,4%) dor abdominal e 30 (29,4%) constipação, 30 (29,4%) pessoas dor articular e 22 (21,6%) pirose. </w:t>
      </w:r>
    </w:p>
    <w:p w:rsidR="00130AB6" w:rsidRDefault="002C7D32">
      <w:pPr>
        <w:spacing w:after="315" w:line="259" w:lineRule="auto"/>
        <w:ind w:left="0" w:right="0" w:firstLine="0"/>
        <w:jc w:val="left"/>
      </w:pPr>
      <w:r>
        <w:rPr>
          <w:color w:val="FF0000"/>
        </w:rPr>
        <w:t xml:space="preserve"> </w:t>
      </w:r>
    </w:p>
    <w:p w:rsidR="00130AB6" w:rsidRDefault="002C7D32">
      <w:pPr>
        <w:spacing w:after="316" w:line="259" w:lineRule="auto"/>
        <w:ind w:left="-5" w:right="167"/>
      </w:pPr>
      <w:r>
        <w:t xml:space="preserve">5.4.2 Diagnóstico  </w:t>
      </w:r>
    </w:p>
    <w:p w:rsidR="00130AB6" w:rsidRDefault="002C7D32">
      <w:pPr>
        <w:ind w:left="-5" w:right="167"/>
      </w:pPr>
      <w:r>
        <w:t xml:space="preserve">Observando a idade no momento do </w:t>
      </w:r>
      <w:r>
        <w:t>diagnóstico, 44 (43,1%) participantes relataram que foram diagnosticados na faixa etária de 31-40 anos, 22 (21,6%) na faixa de 21-30 anos, 10 (9,8%) na faixa de 41-50 anos e 10 (9,8%) com mais de 50 anos. Cerca de 16 (15,7%) participantes tiveram o diagnós</w:t>
      </w:r>
      <w:r>
        <w:t xml:space="preserve">tico antes dos 21 anos, sendo que, 7 (6,9%) foram diagnosticados entre 11-20 anos de idade, 5 (4,9%) com menos de 5 anos e 4 (3,9%) entre 5-10 anos. </w:t>
      </w:r>
    </w:p>
    <w:p w:rsidR="00130AB6" w:rsidRDefault="002C7D32">
      <w:pPr>
        <w:ind w:left="-5" w:right="167"/>
      </w:pPr>
      <w:r>
        <w:lastRenderedPageBreak/>
        <w:t>Em relação ao método diagnóstico para doença celíaca, 93 (91,2%) participantes obtiveram um resultado posi</w:t>
      </w:r>
      <w:r>
        <w:t xml:space="preserve">tivo para doença celíaca através da endoscopia com biópsia duodenal, 71 (69,6%) com anticorpos </w:t>
      </w:r>
      <w:proofErr w:type="spellStart"/>
      <w:r>
        <w:t>anti-transglutaminase</w:t>
      </w:r>
      <w:proofErr w:type="spellEnd"/>
      <w:r>
        <w:t xml:space="preserve"> (IgA) e 66 (64,7%) com anticorpos </w:t>
      </w:r>
      <w:proofErr w:type="spellStart"/>
      <w:r>
        <w:t>anti-endomísio</w:t>
      </w:r>
      <w:proofErr w:type="spellEnd"/>
      <w:r>
        <w:t xml:space="preserve"> (IgA). Outros exames foram relatados e estão descritos na tabela abaixo. </w:t>
      </w:r>
    </w:p>
    <w:p w:rsidR="00130AB6" w:rsidRDefault="002C7D32">
      <w:pPr>
        <w:spacing w:after="139" w:line="259" w:lineRule="auto"/>
        <w:ind w:left="0" w:right="0" w:firstLine="0"/>
        <w:jc w:val="left"/>
      </w:pPr>
      <w:r>
        <w:t xml:space="preserve"> </w:t>
      </w:r>
    </w:p>
    <w:p w:rsidR="00130AB6" w:rsidRDefault="002C7D32">
      <w:pPr>
        <w:spacing w:after="4" w:line="250" w:lineRule="auto"/>
        <w:ind w:left="-5" w:right="0"/>
        <w:jc w:val="left"/>
      </w:pPr>
      <w:r>
        <w:rPr>
          <w:b/>
          <w:sz w:val="20"/>
        </w:rPr>
        <w:t>Tabela 3:</w:t>
      </w:r>
      <w:r>
        <w:rPr>
          <w:sz w:val="20"/>
        </w:rPr>
        <w:t xml:space="preserve"> </w:t>
      </w:r>
      <w:r>
        <w:rPr>
          <w:sz w:val="20"/>
        </w:rPr>
        <w:t xml:space="preserve">Método diagnóstico utilizado por portadores de doença celíaca residentes na Bahia em 2023. </w:t>
      </w:r>
    </w:p>
    <w:tbl>
      <w:tblPr>
        <w:tblStyle w:val="TableGrid"/>
        <w:tblW w:w="9059" w:type="dxa"/>
        <w:tblInd w:w="55" w:type="dxa"/>
        <w:tblCellMar>
          <w:top w:w="46" w:type="dxa"/>
          <w:left w:w="0" w:type="dxa"/>
          <w:bottom w:w="0" w:type="dxa"/>
          <w:right w:w="115" w:type="dxa"/>
        </w:tblCellMar>
        <w:tblLook w:val="04A0" w:firstRow="1" w:lastRow="0" w:firstColumn="1" w:lastColumn="0" w:noHBand="0" w:noVBand="1"/>
      </w:tblPr>
      <w:tblGrid>
        <w:gridCol w:w="6128"/>
        <w:gridCol w:w="1501"/>
        <w:gridCol w:w="1430"/>
      </w:tblGrid>
      <w:tr w:rsidR="00130AB6">
        <w:trPr>
          <w:trHeight w:val="373"/>
        </w:trPr>
        <w:tc>
          <w:tcPr>
            <w:tcW w:w="6128" w:type="dxa"/>
            <w:tcBorders>
              <w:top w:val="single" w:sz="4" w:space="0" w:color="000000"/>
              <w:left w:val="nil"/>
              <w:bottom w:val="single" w:sz="4" w:space="0" w:color="000000"/>
              <w:right w:val="nil"/>
            </w:tcBorders>
          </w:tcPr>
          <w:p w:rsidR="00130AB6" w:rsidRDefault="002C7D32">
            <w:pPr>
              <w:spacing w:after="0" w:line="259" w:lineRule="auto"/>
              <w:ind w:left="84" w:right="0" w:firstLine="0"/>
              <w:jc w:val="left"/>
            </w:pPr>
            <w:r>
              <w:rPr>
                <w:b/>
              </w:rPr>
              <w:t xml:space="preserve">Método diagnóstico </w:t>
            </w:r>
          </w:p>
        </w:tc>
        <w:tc>
          <w:tcPr>
            <w:tcW w:w="1501"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n </w:t>
            </w:r>
          </w:p>
        </w:tc>
        <w:tc>
          <w:tcPr>
            <w:tcW w:w="1430"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 </w:t>
            </w:r>
          </w:p>
        </w:tc>
      </w:tr>
      <w:tr w:rsidR="00130AB6">
        <w:trPr>
          <w:trHeight w:val="371"/>
        </w:trPr>
        <w:tc>
          <w:tcPr>
            <w:tcW w:w="6128" w:type="dxa"/>
            <w:tcBorders>
              <w:top w:val="single" w:sz="4" w:space="0" w:color="000000"/>
              <w:left w:val="nil"/>
              <w:bottom w:val="nil"/>
              <w:right w:val="nil"/>
            </w:tcBorders>
          </w:tcPr>
          <w:p w:rsidR="00130AB6" w:rsidRDefault="002C7D32">
            <w:pPr>
              <w:spacing w:after="0" w:line="259" w:lineRule="auto"/>
              <w:ind w:left="84" w:right="0" w:firstLine="0"/>
              <w:jc w:val="left"/>
            </w:pPr>
            <w:r>
              <w:rPr>
                <w:color w:val="202124"/>
              </w:rPr>
              <w:t xml:space="preserve">Biópsia duodenal </w:t>
            </w:r>
          </w:p>
        </w:tc>
        <w:tc>
          <w:tcPr>
            <w:tcW w:w="1501" w:type="dxa"/>
            <w:tcBorders>
              <w:top w:val="single" w:sz="4" w:space="0" w:color="000000"/>
              <w:left w:val="nil"/>
              <w:bottom w:val="nil"/>
              <w:right w:val="nil"/>
            </w:tcBorders>
          </w:tcPr>
          <w:p w:rsidR="00130AB6" w:rsidRDefault="002C7D32">
            <w:pPr>
              <w:spacing w:after="0" w:line="259" w:lineRule="auto"/>
              <w:ind w:left="0" w:right="0" w:firstLine="0"/>
              <w:jc w:val="left"/>
            </w:pPr>
            <w:r>
              <w:t xml:space="preserve">93 </w:t>
            </w:r>
          </w:p>
        </w:tc>
        <w:tc>
          <w:tcPr>
            <w:tcW w:w="1430" w:type="dxa"/>
            <w:tcBorders>
              <w:top w:val="single" w:sz="4" w:space="0" w:color="000000"/>
              <w:left w:val="nil"/>
              <w:bottom w:val="nil"/>
              <w:right w:val="nil"/>
            </w:tcBorders>
          </w:tcPr>
          <w:p w:rsidR="00130AB6" w:rsidRDefault="002C7D32">
            <w:pPr>
              <w:spacing w:after="0" w:line="259" w:lineRule="auto"/>
              <w:ind w:left="0" w:right="0" w:firstLine="0"/>
              <w:jc w:val="left"/>
            </w:pPr>
            <w:r>
              <w:t xml:space="preserve">91,2 </w:t>
            </w:r>
          </w:p>
        </w:tc>
      </w:tr>
      <w:tr w:rsidR="00130AB6">
        <w:trPr>
          <w:trHeight w:val="362"/>
        </w:trPr>
        <w:tc>
          <w:tcPr>
            <w:tcW w:w="6128" w:type="dxa"/>
            <w:tcBorders>
              <w:top w:val="nil"/>
              <w:left w:val="nil"/>
              <w:bottom w:val="nil"/>
              <w:right w:val="nil"/>
            </w:tcBorders>
          </w:tcPr>
          <w:p w:rsidR="00130AB6" w:rsidRDefault="002C7D32">
            <w:pPr>
              <w:spacing w:after="0" w:line="259" w:lineRule="auto"/>
              <w:ind w:left="84" w:right="0" w:firstLine="0"/>
              <w:jc w:val="left"/>
            </w:pPr>
            <w:r>
              <w:rPr>
                <w:color w:val="202124"/>
              </w:rPr>
              <w:t xml:space="preserve">Anticorpos </w:t>
            </w:r>
            <w:proofErr w:type="spellStart"/>
            <w:r>
              <w:rPr>
                <w:color w:val="202124"/>
              </w:rPr>
              <w:t>anti-transglutaminase</w:t>
            </w:r>
            <w:proofErr w:type="spellEnd"/>
            <w:r>
              <w:rPr>
                <w:color w:val="202124"/>
              </w:rPr>
              <w:t xml:space="preserve"> (IgA)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71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69,6 </w:t>
            </w:r>
          </w:p>
        </w:tc>
      </w:tr>
      <w:tr w:rsidR="00130AB6">
        <w:trPr>
          <w:trHeight w:val="362"/>
        </w:trPr>
        <w:tc>
          <w:tcPr>
            <w:tcW w:w="6128" w:type="dxa"/>
            <w:tcBorders>
              <w:top w:val="nil"/>
              <w:left w:val="nil"/>
              <w:bottom w:val="nil"/>
              <w:right w:val="nil"/>
            </w:tcBorders>
          </w:tcPr>
          <w:p w:rsidR="00130AB6" w:rsidRDefault="002C7D32">
            <w:pPr>
              <w:spacing w:after="0" w:line="259" w:lineRule="auto"/>
              <w:ind w:left="84" w:right="0" w:firstLine="0"/>
              <w:jc w:val="left"/>
            </w:pPr>
            <w:r>
              <w:rPr>
                <w:color w:val="202124"/>
              </w:rPr>
              <w:t xml:space="preserve">Anticorpos </w:t>
            </w:r>
            <w:proofErr w:type="spellStart"/>
            <w:r>
              <w:rPr>
                <w:color w:val="202124"/>
              </w:rPr>
              <w:t>anti-endomísio</w:t>
            </w:r>
            <w:proofErr w:type="spellEnd"/>
            <w:r>
              <w:rPr>
                <w:color w:val="202124"/>
              </w:rPr>
              <w:t xml:space="preserve"> (IgA)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66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64,7 </w:t>
            </w:r>
          </w:p>
        </w:tc>
      </w:tr>
      <w:tr w:rsidR="00130AB6">
        <w:trPr>
          <w:trHeight w:val="361"/>
        </w:trPr>
        <w:tc>
          <w:tcPr>
            <w:tcW w:w="6128" w:type="dxa"/>
            <w:tcBorders>
              <w:top w:val="nil"/>
              <w:left w:val="nil"/>
              <w:bottom w:val="nil"/>
              <w:right w:val="nil"/>
            </w:tcBorders>
          </w:tcPr>
          <w:p w:rsidR="00130AB6" w:rsidRDefault="002C7D32">
            <w:pPr>
              <w:spacing w:after="0" w:line="259" w:lineRule="auto"/>
              <w:ind w:left="84" w:right="0" w:firstLine="0"/>
              <w:jc w:val="left"/>
            </w:pPr>
            <w:r>
              <w:t xml:space="preserve">Pesquisa do antígeno HLA DQ2 e DQ8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4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3,9 </w:t>
            </w:r>
          </w:p>
        </w:tc>
      </w:tr>
      <w:tr w:rsidR="00130AB6">
        <w:trPr>
          <w:trHeight w:val="361"/>
        </w:trPr>
        <w:tc>
          <w:tcPr>
            <w:tcW w:w="6128" w:type="dxa"/>
            <w:tcBorders>
              <w:top w:val="nil"/>
              <w:left w:val="nil"/>
              <w:bottom w:val="nil"/>
              <w:right w:val="nil"/>
            </w:tcBorders>
          </w:tcPr>
          <w:p w:rsidR="00130AB6" w:rsidRDefault="002C7D32">
            <w:pPr>
              <w:spacing w:after="0" w:line="259" w:lineRule="auto"/>
              <w:ind w:left="84" w:right="0" w:firstLine="0"/>
              <w:jc w:val="left"/>
            </w:pPr>
            <w:r>
              <w:t xml:space="preserve">Anticorpos </w:t>
            </w:r>
            <w:proofErr w:type="spellStart"/>
            <w:r>
              <w:t>anti-gliadina</w:t>
            </w:r>
            <w:proofErr w:type="spellEnd"/>
            <w:r>
              <w:t xml:space="preserve"> (IgA)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1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1,0 </w:t>
            </w:r>
          </w:p>
        </w:tc>
      </w:tr>
      <w:tr w:rsidR="00130AB6">
        <w:trPr>
          <w:trHeight w:val="362"/>
        </w:trPr>
        <w:tc>
          <w:tcPr>
            <w:tcW w:w="6128" w:type="dxa"/>
            <w:tcBorders>
              <w:top w:val="nil"/>
              <w:left w:val="nil"/>
              <w:bottom w:val="nil"/>
              <w:right w:val="nil"/>
            </w:tcBorders>
          </w:tcPr>
          <w:p w:rsidR="00130AB6" w:rsidRDefault="002C7D32">
            <w:pPr>
              <w:spacing w:after="0" w:line="259" w:lineRule="auto"/>
              <w:ind w:left="84" w:right="0" w:firstLine="0"/>
              <w:jc w:val="left"/>
            </w:pPr>
            <w:r>
              <w:rPr>
                <w:color w:val="202124"/>
              </w:rPr>
              <w:t xml:space="preserve">FAN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1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1,0 </w:t>
            </w:r>
          </w:p>
        </w:tc>
      </w:tr>
      <w:tr w:rsidR="00130AB6">
        <w:trPr>
          <w:trHeight w:val="362"/>
        </w:trPr>
        <w:tc>
          <w:tcPr>
            <w:tcW w:w="6128" w:type="dxa"/>
            <w:tcBorders>
              <w:top w:val="nil"/>
              <w:left w:val="nil"/>
              <w:bottom w:val="nil"/>
              <w:right w:val="nil"/>
            </w:tcBorders>
          </w:tcPr>
          <w:p w:rsidR="00130AB6" w:rsidRDefault="002C7D32">
            <w:pPr>
              <w:spacing w:after="0" w:line="259" w:lineRule="auto"/>
              <w:ind w:left="84" w:right="0" w:firstLine="0"/>
              <w:jc w:val="left"/>
            </w:pPr>
            <w:r>
              <w:rPr>
                <w:color w:val="202124"/>
              </w:rPr>
              <w:t xml:space="preserve">Biópsia em colonoscopia </w:t>
            </w:r>
          </w:p>
        </w:tc>
        <w:tc>
          <w:tcPr>
            <w:tcW w:w="1501" w:type="dxa"/>
            <w:tcBorders>
              <w:top w:val="nil"/>
              <w:left w:val="nil"/>
              <w:bottom w:val="nil"/>
              <w:right w:val="nil"/>
            </w:tcBorders>
          </w:tcPr>
          <w:p w:rsidR="00130AB6" w:rsidRDefault="002C7D32">
            <w:pPr>
              <w:spacing w:after="0" w:line="259" w:lineRule="auto"/>
              <w:ind w:left="0" w:right="0" w:firstLine="0"/>
              <w:jc w:val="left"/>
            </w:pPr>
            <w:r>
              <w:t xml:space="preserve">1 </w:t>
            </w:r>
          </w:p>
        </w:tc>
        <w:tc>
          <w:tcPr>
            <w:tcW w:w="1430" w:type="dxa"/>
            <w:tcBorders>
              <w:top w:val="nil"/>
              <w:left w:val="nil"/>
              <w:bottom w:val="nil"/>
              <w:right w:val="nil"/>
            </w:tcBorders>
          </w:tcPr>
          <w:p w:rsidR="00130AB6" w:rsidRDefault="002C7D32">
            <w:pPr>
              <w:spacing w:after="0" w:line="259" w:lineRule="auto"/>
              <w:ind w:left="0" w:right="0" w:firstLine="0"/>
              <w:jc w:val="left"/>
            </w:pPr>
            <w:r>
              <w:t xml:space="preserve">1,0 </w:t>
            </w:r>
          </w:p>
        </w:tc>
      </w:tr>
      <w:tr w:rsidR="00130AB6">
        <w:trPr>
          <w:trHeight w:val="363"/>
        </w:trPr>
        <w:tc>
          <w:tcPr>
            <w:tcW w:w="6128" w:type="dxa"/>
            <w:tcBorders>
              <w:top w:val="nil"/>
              <w:left w:val="nil"/>
              <w:bottom w:val="single" w:sz="4" w:space="0" w:color="000000"/>
              <w:right w:val="nil"/>
            </w:tcBorders>
          </w:tcPr>
          <w:p w:rsidR="00130AB6" w:rsidRDefault="002C7D32">
            <w:pPr>
              <w:spacing w:after="0" w:line="259" w:lineRule="auto"/>
              <w:ind w:left="84" w:right="0" w:firstLine="0"/>
              <w:jc w:val="left"/>
            </w:pPr>
            <w:r>
              <w:rPr>
                <w:color w:val="202124"/>
              </w:rPr>
              <w:t xml:space="preserve">Não referido </w:t>
            </w:r>
          </w:p>
        </w:tc>
        <w:tc>
          <w:tcPr>
            <w:tcW w:w="1501" w:type="dxa"/>
            <w:tcBorders>
              <w:top w:val="nil"/>
              <w:left w:val="nil"/>
              <w:bottom w:val="single" w:sz="4" w:space="0" w:color="000000"/>
              <w:right w:val="nil"/>
            </w:tcBorders>
          </w:tcPr>
          <w:p w:rsidR="00130AB6" w:rsidRDefault="002C7D32">
            <w:pPr>
              <w:spacing w:after="0" w:line="259" w:lineRule="auto"/>
              <w:ind w:left="0" w:right="0" w:firstLine="0"/>
              <w:jc w:val="left"/>
            </w:pPr>
            <w:r>
              <w:t xml:space="preserve">1 </w:t>
            </w:r>
          </w:p>
        </w:tc>
        <w:tc>
          <w:tcPr>
            <w:tcW w:w="1430" w:type="dxa"/>
            <w:tcBorders>
              <w:top w:val="nil"/>
              <w:left w:val="nil"/>
              <w:bottom w:val="single" w:sz="4" w:space="0" w:color="000000"/>
              <w:right w:val="nil"/>
            </w:tcBorders>
          </w:tcPr>
          <w:p w:rsidR="00130AB6" w:rsidRDefault="002C7D32">
            <w:pPr>
              <w:spacing w:after="0" w:line="259" w:lineRule="auto"/>
              <w:ind w:left="0" w:right="0" w:firstLine="0"/>
              <w:jc w:val="left"/>
            </w:pPr>
            <w:r>
              <w:t xml:space="preserve">1,0 </w:t>
            </w:r>
          </w:p>
        </w:tc>
      </w:tr>
      <w:tr w:rsidR="00130AB6">
        <w:trPr>
          <w:trHeight w:val="372"/>
        </w:trPr>
        <w:tc>
          <w:tcPr>
            <w:tcW w:w="6128" w:type="dxa"/>
            <w:tcBorders>
              <w:top w:val="single" w:sz="4" w:space="0" w:color="000000"/>
              <w:left w:val="nil"/>
              <w:bottom w:val="single" w:sz="4" w:space="0" w:color="000000"/>
              <w:right w:val="nil"/>
            </w:tcBorders>
          </w:tcPr>
          <w:p w:rsidR="00130AB6" w:rsidRDefault="002C7D32">
            <w:pPr>
              <w:spacing w:after="0" w:line="259" w:lineRule="auto"/>
              <w:ind w:left="84" w:right="0" w:firstLine="0"/>
              <w:jc w:val="left"/>
            </w:pPr>
            <w:r>
              <w:rPr>
                <w:b/>
              </w:rPr>
              <w:t xml:space="preserve">TOTAL </w:t>
            </w:r>
          </w:p>
        </w:tc>
        <w:tc>
          <w:tcPr>
            <w:tcW w:w="1501"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102 </w:t>
            </w:r>
          </w:p>
        </w:tc>
        <w:tc>
          <w:tcPr>
            <w:tcW w:w="1430" w:type="dxa"/>
            <w:tcBorders>
              <w:top w:val="single" w:sz="4" w:space="0" w:color="000000"/>
              <w:left w:val="nil"/>
              <w:bottom w:val="single" w:sz="4" w:space="0" w:color="000000"/>
              <w:right w:val="nil"/>
            </w:tcBorders>
          </w:tcPr>
          <w:p w:rsidR="00130AB6" w:rsidRDefault="002C7D32">
            <w:pPr>
              <w:spacing w:after="0" w:line="259" w:lineRule="auto"/>
              <w:ind w:left="0" w:right="0" w:firstLine="0"/>
              <w:jc w:val="left"/>
            </w:pPr>
            <w:r>
              <w:rPr>
                <w:b/>
              </w:rPr>
              <w:t xml:space="preserve">100,0 </w:t>
            </w:r>
          </w:p>
        </w:tc>
      </w:tr>
    </w:tbl>
    <w:p w:rsidR="00130AB6" w:rsidRDefault="002C7D32">
      <w:pPr>
        <w:spacing w:after="190" w:line="250" w:lineRule="auto"/>
        <w:ind w:left="-5" w:right="0"/>
        <w:jc w:val="left"/>
      </w:pPr>
      <w:r>
        <w:rPr>
          <w:sz w:val="20"/>
        </w:rPr>
        <w:t xml:space="preserve">Fonte: Elaborado pelo autor (2023). </w:t>
      </w:r>
    </w:p>
    <w:p w:rsidR="00130AB6" w:rsidRDefault="002C7D32">
      <w:pPr>
        <w:spacing w:after="336" w:line="259" w:lineRule="auto"/>
        <w:ind w:left="0" w:right="0" w:firstLine="0"/>
        <w:jc w:val="left"/>
      </w:pPr>
      <w:r>
        <w:rPr>
          <w:sz w:val="20"/>
        </w:rPr>
        <w:t xml:space="preserve"> </w:t>
      </w:r>
    </w:p>
    <w:p w:rsidR="00130AB6" w:rsidRDefault="002C7D32">
      <w:pPr>
        <w:ind w:left="-5" w:right="167"/>
      </w:pPr>
      <w:r>
        <w:t xml:space="preserve">Ao avaliar uma possível existência de </w:t>
      </w:r>
      <w:r>
        <w:t>atraso no diagnóstico da doença celíaca, 70 (68,6%) pessoas afirmaram que houve atraso, enquanto 32 (31,4%) relataram que não.</w:t>
      </w:r>
      <w:r>
        <w:rPr>
          <w:color w:val="7030A0"/>
        </w:rPr>
        <w:t xml:space="preserve"> </w:t>
      </w:r>
      <w:r>
        <w:t>Discorrendo sobre o tempo</w:t>
      </w:r>
      <w:r>
        <w:rPr>
          <w:color w:val="202124"/>
        </w:rPr>
        <w:t xml:space="preserve"> entre o aparecimento dos sintomas até chegar ao diagnóstico</w:t>
      </w:r>
      <w:r>
        <w:t>, 70 (68,6%) participantes referiram a demor</w:t>
      </w:r>
      <w:r>
        <w:t>a de 1 ano ou mais para descobrir a doença. Dentre esses, 18 pessoas referiram uma busca de mais de 10 anos, destacando-se 10 participantes que relataram uma demora de mais de 20 anos. Por outro lado, 17 (16,7%) participantes referiram um tempo de menos de</w:t>
      </w:r>
      <w:r>
        <w:t xml:space="preserve"> 1 ano desde os sintomas até o diagnóstico. </w:t>
      </w:r>
    </w:p>
    <w:p w:rsidR="00130AB6" w:rsidRDefault="002C7D32">
      <w:pPr>
        <w:ind w:left="-5" w:right="167"/>
      </w:pPr>
      <w:r>
        <w:t>Dentre os indivíduos que confirmaram o retardo no diagnóstico, 43 (61,4%) atribuíram o motivo a falta de conhecimento dos médicos sobre a doença e 10 (14,3%) relacionaram o atraso a própria falta de informação s</w:t>
      </w:r>
      <w:r>
        <w:t xml:space="preserve">obre a doença, que consequentemente prejudicou o entendimento dos sintomas e a procura por assistência médica. Além disso, quatro pessoas relataram que eram assintomáticas e por isso não descobriram a doença precocemente, enquanto três pessoas afirmaram </w:t>
      </w:r>
      <w:r>
        <w:lastRenderedPageBreak/>
        <w:t>di</w:t>
      </w:r>
      <w:r>
        <w:t xml:space="preserve">ficuldade nos marcadores de exames, como falsos-negativos e resultados inconclusivos. </w:t>
      </w:r>
    </w:p>
    <w:p w:rsidR="00130AB6" w:rsidRDefault="002C7D32">
      <w:pPr>
        <w:spacing w:after="316" w:line="259" w:lineRule="auto"/>
        <w:ind w:left="0" w:right="0" w:firstLine="0"/>
        <w:jc w:val="left"/>
      </w:pPr>
      <w:r>
        <w:t xml:space="preserve"> </w:t>
      </w:r>
    </w:p>
    <w:p w:rsidR="00130AB6" w:rsidRDefault="002C7D32">
      <w:pPr>
        <w:spacing w:after="316" w:line="259" w:lineRule="auto"/>
        <w:ind w:left="-5" w:right="167"/>
      </w:pPr>
      <w:r>
        <w:t xml:space="preserve">5.4.3 Outras doenças associadas </w:t>
      </w:r>
    </w:p>
    <w:p w:rsidR="00130AB6" w:rsidRDefault="002C7D32">
      <w:pPr>
        <w:ind w:left="-5" w:right="167"/>
      </w:pPr>
      <w:r>
        <w:t xml:space="preserve">Quanto a comorbidades associadas, a dermatite </w:t>
      </w:r>
      <w:proofErr w:type="spellStart"/>
      <w:r>
        <w:t>herpetiforme</w:t>
      </w:r>
      <w:proofErr w:type="spellEnd"/>
      <w:r>
        <w:t xml:space="preserve"> foi relatada por 50 (49%) pessoas, intolerância à lactose por 46 (45%) part</w:t>
      </w:r>
      <w:r>
        <w:t xml:space="preserve">icipantes, deficiência de vitaminas por 41 (40,2%), doença tireoidiana em 27 (26,5%), anemia em 25 (24,5%), osteopenia em 22 (21,6%) e síndrome do intestino irritável em 21 (20,6%). Além dessas, outras condições foram referidas e estão descritas na tabela </w:t>
      </w:r>
      <w:r>
        <w:t xml:space="preserve">abaixo. </w:t>
      </w:r>
    </w:p>
    <w:p w:rsidR="00130AB6" w:rsidRDefault="002C7D32">
      <w:pPr>
        <w:spacing w:after="315" w:line="259" w:lineRule="auto"/>
        <w:ind w:left="0" w:right="0" w:firstLine="0"/>
        <w:jc w:val="left"/>
      </w:pPr>
      <w:r>
        <w:t xml:space="preserve"> </w:t>
      </w:r>
    </w:p>
    <w:p w:rsidR="00130AB6" w:rsidRDefault="002C7D32">
      <w:pPr>
        <w:spacing w:after="4" w:line="250" w:lineRule="auto"/>
        <w:ind w:left="-5" w:right="0"/>
        <w:jc w:val="left"/>
      </w:pPr>
      <w:r>
        <w:rPr>
          <w:b/>
          <w:sz w:val="20"/>
        </w:rPr>
        <w:t xml:space="preserve">Gráfico 4: </w:t>
      </w:r>
      <w:r>
        <w:rPr>
          <w:sz w:val="20"/>
        </w:rPr>
        <w:t>Comorbidades relatadas pelos portadores de doença celíaca residentes na Bahia em 2023.</w:t>
      </w:r>
      <w:r>
        <w:t xml:space="preserve"> </w:t>
      </w:r>
    </w:p>
    <w:tbl>
      <w:tblPr>
        <w:tblStyle w:val="TableGrid"/>
        <w:tblW w:w="9167" w:type="dxa"/>
        <w:tblInd w:w="-1" w:type="dxa"/>
        <w:tblCellMar>
          <w:top w:w="0" w:type="dxa"/>
          <w:left w:w="0" w:type="dxa"/>
          <w:bottom w:w="128" w:type="dxa"/>
          <w:right w:w="217" w:type="dxa"/>
        </w:tblCellMar>
        <w:tblLook w:val="04A0" w:firstRow="1" w:lastRow="0" w:firstColumn="1" w:lastColumn="0" w:noHBand="0" w:noVBand="1"/>
      </w:tblPr>
      <w:tblGrid>
        <w:gridCol w:w="8682"/>
        <w:gridCol w:w="485"/>
      </w:tblGrid>
      <w:tr w:rsidR="00130AB6">
        <w:trPr>
          <w:trHeight w:val="5218"/>
        </w:trPr>
        <w:tc>
          <w:tcPr>
            <w:tcW w:w="8682" w:type="dxa"/>
            <w:tcBorders>
              <w:top w:val="single" w:sz="6" w:space="0" w:color="D9D9D9"/>
              <w:left w:val="single" w:sz="6" w:space="0" w:color="D9D9D9"/>
              <w:bottom w:val="single" w:sz="6" w:space="0" w:color="D9D9D9"/>
              <w:right w:val="nil"/>
            </w:tcBorders>
            <w:vAlign w:val="bottom"/>
          </w:tcPr>
          <w:tbl>
            <w:tblPr>
              <w:tblStyle w:val="TableGrid"/>
              <w:tblpPr w:vertAnchor="text" w:tblpX="3543" w:tblpY="-10"/>
              <w:tblOverlap w:val="never"/>
              <w:tblW w:w="4387" w:type="dxa"/>
              <w:tblInd w:w="0" w:type="dxa"/>
              <w:tblCellMar>
                <w:top w:w="0" w:type="dxa"/>
                <w:left w:w="115" w:type="dxa"/>
                <w:bottom w:w="0" w:type="dxa"/>
                <w:right w:w="115" w:type="dxa"/>
              </w:tblCellMar>
              <w:tblLook w:val="04A0" w:firstRow="1" w:lastRow="0" w:firstColumn="1" w:lastColumn="0" w:noHBand="0" w:noVBand="1"/>
            </w:tblPr>
            <w:tblGrid>
              <w:gridCol w:w="852"/>
              <w:gridCol w:w="883"/>
              <w:gridCol w:w="883"/>
              <w:gridCol w:w="886"/>
              <w:gridCol w:w="883"/>
            </w:tblGrid>
            <w:tr w:rsidR="00130AB6">
              <w:trPr>
                <w:trHeight w:val="458"/>
              </w:trPr>
              <w:tc>
                <w:tcPr>
                  <w:tcW w:w="852" w:type="dxa"/>
                  <w:vMerge w:val="restart"/>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3" w:type="dxa"/>
                  <w:vMerge w:val="restart"/>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vMerge w:val="restart"/>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6" w:type="dxa"/>
                  <w:vMerge w:val="restart"/>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vMerge w:val="restart"/>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458"/>
              </w:trPr>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458"/>
              </w:trPr>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458"/>
              </w:trPr>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8"/>
              </w:trPr>
              <w:tc>
                <w:tcPr>
                  <w:tcW w:w="852" w:type="dxa"/>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6"/>
              </w:trPr>
              <w:tc>
                <w:tcPr>
                  <w:tcW w:w="852" w:type="dxa"/>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6"/>
              </w:trPr>
              <w:tc>
                <w:tcPr>
                  <w:tcW w:w="852" w:type="dxa"/>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8"/>
              </w:trPr>
              <w:tc>
                <w:tcPr>
                  <w:tcW w:w="852" w:type="dxa"/>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8"/>
              </w:trPr>
              <w:tc>
                <w:tcPr>
                  <w:tcW w:w="852"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6"/>
              </w:trPr>
              <w:tc>
                <w:tcPr>
                  <w:tcW w:w="852"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6"/>
              </w:trPr>
              <w:tc>
                <w:tcPr>
                  <w:tcW w:w="852" w:type="dxa"/>
                  <w:tcBorders>
                    <w:top w:val="single" w:sz="41"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1"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8"/>
              </w:trPr>
              <w:tc>
                <w:tcPr>
                  <w:tcW w:w="852"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8"/>
              </w:trPr>
              <w:tc>
                <w:tcPr>
                  <w:tcW w:w="852"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886" w:type="dxa"/>
                  <w:tcBorders>
                    <w:top w:val="single" w:sz="42" w:space="0" w:color="4472C4"/>
                    <w:left w:val="single" w:sz="6" w:space="0" w:color="D9D9D9"/>
                    <w:bottom w:val="single" w:sz="42" w:space="0" w:color="4472C4"/>
                    <w:right w:val="single" w:sz="6" w:space="0" w:color="D9D9D9"/>
                  </w:tcBorders>
                </w:tcPr>
                <w:p w:rsidR="00130AB6" w:rsidRDefault="00130AB6">
                  <w:pPr>
                    <w:spacing w:after="160" w:line="259" w:lineRule="auto"/>
                    <w:ind w:left="0" w:right="0" w:firstLine="0"/>
                    <w:jc w:val="left"/>
                  </w:pPr>
                </w:p>
              </w:tc>
              <w:tc>
                <w:tcPr>
                  <w:tcW w:w="0" w:type="auto"/>
                  <w:vMerge/>
                  <w:tcBorders>
                    <w:top w:val="nil"/>
                    <w:left w:val="single" w:sz="6" w:space="0" w:color="D9D9D9"/>
                    <w:bottom w:val="nil"/>
                    <w:right w:val="single" w:sz="6" w:space="0" w:color="D9D9D9"/>
                  </w:tcBorders>
                </w:tcPr>
                <w:p w:rsidR="00130AB6" w:rsidRDefault="00130AB6">
                  <w:pPr>
                    <w:spacing w:after="160" w:line="259" w:lineRule="auto"/>
                    <w:ind w:left="0" w:right="0" w:firstLine="0"/>
                    <w:jc w:val="left"/>
                  </w:pPr>
                </w:p>
              </w:tc>
            </w:tr>
            <w:tr w:rsidR="00130AB6">
              <w:trPr>
                <w:trHeight w:val="296"/>
              </w:trPr>
              <w:tc>
                <w:tcPr>
                  <w:tcW w:w="852"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883"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886" w:type="dxa"/>
                  <w:tcBorders>
                    <w:top w:val="single" w:sz="42" w:space="0" w:color="4472C4"/>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c>
                <w:tcPr>
                  <w:tcW w:w="883" w:type="dxa"/>
                  <w:tcBorders>
                    <w:top w:val="nil"/>
                    <w:left w:val="single" w:sz="6" w:space="0" w:color="D9D9D9"/>
                    <w:bottom w:val="single" w:sz="41" w:space="0" w:color="4472C4"/>
                    <w:right w:val="single" w:sz="6" w:space="0" w:color="D9D9D9"/>
                  </w:tcBorders>
                </w:tcPr>
                <w:p w:rsidR="00130AB6" w:rsidRDefault="00130AB6">
                  <w:pPr>
                    <w:spacing w:after="160" w:line="259" w:lineRule="auto"/>
                    <w:ind w:left="0" w:right="0" w:firstLine="0"/>
                    <w:jc w:val="left"/>
                  </w:pPr>
                </w:p>
              </w:tc>
            </w:tr>
            <w:tr w:rsidR="00130AB6">
              <w:trPr>
                <w:trHeight w:val="148"/>
              </w:trPr>
              <w:tc>
                <w:tcPr>
                  <w:tcW w:w="852" w:type="dxa"/>
                  <w:tcBorders>
                    <w:top w:val="single" w:sz="41" w:space="0" w:color="4472C4"/>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3" w:type="dxa"/>
                  <w:tcBorders>
                    <w:top w:val="single" w:sz="41" w:space="0" w:color="4472C4"/>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3" w:type="dxa"/>
                  <w:tcBorders>
                    <w:top w:val="single" w:sz="41" w:space="0" w:color="4472C4"/>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6" w:type="dxa"/>
                  <w:tcBorders>
                    <w:top w:val="single" w:sz="41" w:space="0" w:color="4472C4"/>
                    <w:left w:val="single" w:sz="6" w:space="0" w:color="D9D9D9"/>
                    <w:bottom w:val="nil"/>
                    <w:right w:val="single" w:sz="6" w:space="0" w:color="D9D9D9"/>
                  </w:tcBorders>
                </w:tcPr>
                <w:p w:rsidR="00130AB6" w:rsidRDefault="00130AB6">
                  <w:pPr>
                    <w:spacing w:after="160" w:line="259" w:lineRule="auto"/>
                    <w:ind w:left="0" w:right="0" w:firstLine="0"/>
                    <w:jc w:val="left"/>
                  </w:pPr>
                </w:p>
              </w:tc>
              <w:tc>
                <w:tcPr>
                  <w:tcW w:w="883" w:type="dxa"/>
                  <w:tcBorders>
                    <w:top w:val="single" w:sz="41" w:space="0" w:color="4472C4"/>
                    <w:left w:val="single" w:sz="6" w:space="0" w:color="D9D9D9"/>
                    <w:bottom w:val="nil"/>
                    <w:right w:val="single" w:sz="6" w:space="0" w:color="D9D9D9"/>
                  </w:tcBorders>
                </w:tcPr>
                <w:p w:rsidR="00130AB6" w:rsidRDefault="00130AB6">
                  <w:pPr>
                    <w:spacing w:after="160" w:line="259" w:lineRule="auto"/>
                    <w:ind w:left="0" w:right="0" w:firstLine="0"/>
                    <w:jc w:val="left"/>
                  </w:pPr>
                </w:p>
              </w:tc>
            </w:tr>
          </w:tbl>
          <w:p w:rsidR="00130AB6" w:rsidRDefault="002C7D32">
            <w:pPr>
              <w:spacing w:after="0" w:line="259" w:lineRule="auto"/>
              <w:ind w:left="2585" w:right="534" w:firstLine="0"/>
              <w:jc w:val="left"/>
            </w:pPr>
            <w:r>
              <w:rPr>
                <w:color w:val="595959"/>
              </w:rPr>
              <w:t>Lúpus</w:t>
            </w:r>
          </w:p>
          <w:p w:rsidR="00130AB6" w:rsidRDefault="002C7D32">
            <w:pPr>
              <w:spacing w:after="0" w:line="259" w:lineRule="auto"/>
              <w:ind w:left="611" w:right="534" w:firstLine="0"/>
              <w:jc w:val="left"/>
            </w:pPr>
            <w:r>
              <w:rPr>
                <w:color w:val="595959"/>
              </w:rPr>
              <w:t>Alergia alimentar múltipla</w:t>
            </w:r>
          </w:p>
          <w:p w:rsidR="00130AB6" w:rsidRDefault="002C7D32">
            <w:pPr>
              <w:spacing w:after="0" w:line="259" w:lineRule="auto"/>
              <w:ind w:left="1504" w:right="534" w:firstLine="0"/>
              <w:jc w:val="left"/>
            </w:pPr>
            <w:r>
              <w:rPr>
                <w:color w:val="595959"/>
              </w:rPr>
              <w:t>Doença hepática</w:t>
            </w:r>
          </w:p>
          <w:p w:rsidR="00130AB6" w:rsidRDefault="002C7D32">
            <w:pPr>
              <w:spacing w:after="0" w:line="259" w:lineRule="auto"/>
              <w:ind w:left="1932" w:right="534" w:firstLine="0"/>
              <w:jc w:val="left"/>
            </w:pPr>
            <w:r>
              <w:rPr>
                <w:color w:val="595959"/>
              </w:rPr>
              <w:t>Osteoporose</w:t>
            </w:r>
          </w:p>
          <w:p w:rsidR="00130AB6" w:rsidRDefault="002C7D32">
            <w:pPr>
              <w:spacing w:after="0" w:line="259" w:lineRule="auto"/>
              <w:ind w:left="2065" w:right="534" w:firstLine="0"/>
              <w:jc w:val="left"/>
            </w:pPr>
            <w:r>
              <w:rPr>
                <w:color w:val="595959"/>
              </w:rPr>
              <w:t>Infertilidade</w:t>
            </w:r>
          </w:p>
          <w:p w:rsidR="00130AB6" w:rsidRDefault="002C7D32">
            <w:pPr>
              <w:spacing w:after="0" w:line="259" w:lineRule="auto"/>
              <w:ind w:left="2666" w:right="534" w:firstLine="0"/>
              <w:jc w:val="left"/>
            </w:pPr>
            <w:r>
              <w:rPr>
                <w:color w:val="595959"/>
              </w:rPr>
              <w:t>Artrite</w:t>
            </w:r>
          </w:p>
          <w:p w:rsidR="00130AB6" w:rsidRDefault="002C7D32">
            <w:pPr>
              <w:spacing w:after="0" w:line="259" w:lineRule="auto"/>
              <w:ind w:left="1478" w:right="534" w:firstLine="0"/>
              <w:jc w:val="left"/>
            </w:pPr>
            <w:r>
              <w:rPr>
                <w:color w:val="595959"/>
              </w:rPr>
              <w:t>Diabetes mellitus</w:t>
            </w:r>
          </w:p>
          <w:p w:rsidR="00130AB6" w:rsidRDefault="002C7D32">
            <w:pPr>
              <w:spacing w:after="0" w:line="259" w:lineRule="auto"/>
              <w:ind w:left="1999" w:right="534" w:firstLine="0"/>
              <w:jc w:val="left"/>
            </w:pPr>
            <w:r>
              <w:rPr>
                <w:color w:val="595959"/>
              </w:rPr>
              <w:t>Fibromialgia</w:t>
            </w:r>
          </w:p>
          <w:p w:rsidR="00130AB6" w:rsidRDefault="002C7D32">
            <w:pPr>
              <w:spacing w:after="0" w:line="259" w:lineRule="auto"/>
              <w:ind w:left="130" w:right="534" w:firstLine="0"/>
              <w:jc w:val="left"/>
            </w:pPr>
            <w:r>
              <w:rPr>
                <w:color w:val="595959"/>
              </w:rPr>
              <w:t>Síndrome do intestino irritável</w:t>
            </w:r>
          </w:p>
          <w:p w:rsidR="00130AB6" w:rsidRDefault="002C7D32">
            <w:pPr>
              <w:spacing w:after="0" w:line="259" w:lineRule="auto"/>
              <w:ind w:left="2078" w:right="534" w:firstLine="0"/>
              <w:jc w:val="left"/>
            </w:pPr>
            <w:r>
              <w:rPr>
                <w:color w:val="595959"/>
              </w:rPr>
              <w:t>Osteopenia</w:t>
            </w:r>
          </w:p>
          <w:p w:rsidR="00130AB6" w:rsidRDefault="002C7D32">
            <w:pPr>
              <w:spacing w:after="0" w:line="259" w:lineRule="auto"/>
              <w:ind w:left="2492" w:right="534" w:firstLine="0"/>
              <w:jc w:val="left"/>
            </w:pPr>
            <w:r>
              <w:rPr>
                <w:color w:val="595959"/>
              </w:rPr>
              <w:t>Anemia</w:t>
            </w:r>
          </w:p>
          <w:p w:rsidR="00130AB6" w:rsidRDefault="002C7D32">
            <w:pPr>
              <w:spacing w:after="0" w:line="259" w:lineRule="auto"/>
              <w:ind w:left="1491" w:right="534" w:firstLine="0"/>
              <w:jc w:val="left"/>
            </w:pPr>
            <w:r>
              <w:rPr>
                <w:color w:val="595959"/>
              </w:rPr>
              <w:t>Doença tireóidea</w:t>
            </w:r>
          </w:p>
          <w:p w:rsidR="00130AB6" w:rsidRDefault="002C7D32">
            <w:pPr>
              <w:spacing w:after="0" w:line="259" w:lineRule="auto"/>
              <w:ind w:left="651" w:right="534" w:firstLine="0"/>
              <w:jc w:val="left"/>
            </w:pPr>
            <w:r>
              <w:rPr>
                <w:color w:val="595959"/>
              </w:rPr>
              <w:t>Deficiência em vitaminas</w:t>
            </w:r>
          </w:p>
          <w:p w:rsidR="00130AB6" w:rsidRDefault="002C7D32">
            <w:pPr>
              <w:spacing w:after="0" w:line="259" w:lineRule="auto"/>
              <w:ind w:left="1037" w:right="534" w:firstLine="0"/>
              <w:jc w:val="left"/>
            </w:pPr>
            <w:r>
              <w:rPr>
                <w:color w:val="595959"/>
              </w:rPr>
              <w:t>Intolerância à lactose</w:t>
            </w:r>
          </w:p>
          <w:p w:rsidR="00130AB6" w:rsidRDefault="002C7D32">
            <w:pPr>
              <w:spacing w:after="136" w:line="259" w:lineRule="auto"/>
              <w:ind w:left="851" w:right="534" w:firstLine="0"/>
              <w:jc w:val="left"/>
            </w:pPr>
            <w:r>
              <w:rPr>
                <w:color w:val="595959"/>
              </w:rPr>
              <w:t xml:space="preserve">Dermatite </w:t>
            </w:r>
            <w:proofErr w:type="spellStart"/>
            <w:r>
              <w:rPr>
                <w:color w:val="595959"/>
              </w:rPr>
              <w:t>herpetiforme</w:t>
            </w:r>
            <w:proofErr w:type="spellEnd"/>
          </w:p>
          <w:p w:rsidR="00130AB6" w:rsidRDefault="002C7D32">
            <w:pPr>
              <w:tabs>
                <w:tab w:val="center" w:pos="3513"/>
                <w:tab w:val="center" w:pos="4397"/>
                <w:tab w:val="center" w:pos="5281"/>
                <w:tab w:val="center" w:pos="6164"/>
                <w:tab w:val="center" w:pos="7049"/>
                <w:tab w:val="center" w:pos="7932"/>
              </w:tabs>
              <w:spacing w:after="0" w:line="259" w:lineRule="auto"/>
              <w:ind w:left="0" w:right="0" w:firstLine="0"/>
              <w:jc w:val="left"/>
            </w:pPr>
            <w:r>
              <w:rPr>
                <w:rFonts w:ascii="Calibri" w:eastAsia="Calibri" w:hAnsi="Calibri" w:cs="Calibri"/>
                <w:sz w:val="22"/>
              </w:rPr>
              <w:tab/>
            </w:r>
            <w:r>
              <w:rPr>
                <w:color w:val="595959"/>
              </w:rPr>
              <w:t>0</w:t>
            </w:r>
            <w:r>
              <w:rPr>
                <w:color w:val="595959"/>
              </w:rPr>
              <w:tab/>
              <w:t>10</w:t>
            </w:r>
            <w:r>
              <w:rPr>
                <w:color w:val="595959"/>
              </w:rPr>
              <w:tab/>
              <w:t>20</w:t>
            </w:r>
            <w:r>
              <w:rPr>
                <w:color w:val="595959"/>
              </w:rPr>
              <w:tab/>
              <w:t>30</w:t>
            </w:r>
            <w:r>
              <w:rPr>
                <w:color w:val="595959"/>
              </w:rPr>
              <w:tab/>
              <w:t>40</w:t>
            </w:r>
            <w:r>
              <w:rPr>
                <w:color w:val="595959"/>
              </w:rPr>
              <w:tab/>
              <w:t>50</w:t>
            </w:r>
          </w:p>
        </w:tc>
        <w:tc>
          <w:tcPr>
            <w:tcW w:w="485" w:type="dxa"/>
            <w:tcBorders>
              <w:top w:val="single" w:sz="6" w:space="0" w:color="D9D9D9"/>
              <w:left w:val="nil"/>
              <w:bottom w:val="single" w:sz="6" w:space="0" w:color="D9D9D9"/>
              <w:right w:val="single" w:sz="6" w:space="0" w:color="D9D9D9"/>
            </w:tcBorders>
            <w:vAlign w:val="bottom"/>
          </w:tcPr>
          <w:p w:rsidR="00130AB6" w:rsidRDefault="002C7D32">
            <w:pPr>
              <w:spacing w:after="148" w:line="259" w:lineRule="auto"/>
              <w:ind w:left="132" w:right="0" w:firstLine="0"/>
              <w:jc w:val="left"/>
            </w:pPr>
            <w:r>
              <w:rPr>
                <w:rFonts w:ascii="Calibri" w:eastAsia="Calibri" w:hAnsi="Calibri" w:cs="Calibri"/>
                <w:noProof/>
                <w:sz w:val="22"/>
              </w:rPr>
              <mc:AlternateContent>
                <mc:Choice Requires="wpg">
                  <w:drawing>
                    <wp:inline distT="0" distB="0" distL="0" distR="0">
                      <wp:extent cx="9525" cy="2828925"/>
                      <wp:effectExtent l="0" t="0" r="0" b="0"/>
                      <wp:docPr id="51310" name="Group 51310"/>
                      <wp:cNvGraphicFramePr/>
                      <a:graphic xmlns:a="http://schemas.openxmlformats.org/drawingml/2006/main">
                        <a:graphicData uri="http://schemas.microsoft.com/office/word/2010/wordprocessingGroup">
                          <wpg:wgp>
                            <wpg:cNvGrpSpPr/>
                            <wpg:grpSpPr>
                              <a:xfrm>
                                <a:off x="0" y="0"/>
                                <a:ext cx="9525" cy="2828925"/>
                                <a:chOff x="0" y="0"/>
                                <a:chExt cx="9525" cy="2828925"/>
                              </a:xfrm>
                            </wpg:grpSpPr>
                            <wps:wsp>
                              <wps:cNvPr id="4283" name="Shape 4283"/>
                              <wps:cNvSpPr/>
                              <wps:spPr>
                                <a:xfrm>
                                  <a:off x="0" y="0"/>
                                  <a:ext cx="0" cy="2828925"/>
                                </a:xfrm>
                                <a:custGeom>
                                  <a:avLst/>
                                  <a:gdLst/>
                                  <a:ahLst/>
                                  <a:cxnLst/>
                                  <a:rect l="0" t="0" r="0" b="0"/>
                                  <a:pathLst>
                                    <a:path h="2828925">
                                      <a:moveTo>
                                        <a:pt x="0" y="0"/>
                                      </a:moveTo>
                                      <a:lnTo>
                                        <a:pt x="0" y="2828925"/>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10" style="width:0.75pt;height:222.75pt;mso-position-horizontal-relative:char;mso-position-vertical-relative:line" coordsize="95,28289">
                      <v:shape id="Shape 4283" style="position:absolute;width:0;height:28289;left:0;top:0;" coordsize="0,2828925" path="m0,0l0,2828925">
                        <v:stroke weight="0.75pt" endcap="flat" joinstyle="round" on="true" color="#d9d9d9"/>
                        <v:fill on="false" color="#000000" opacity="0"/>
                      </v:shape>
                    </v:group>
                  </w:pict>
                </mc:Fallback>
              </mc:AlternateContent>
            </w:r>
          </w:p>
          <w:p w:rsidR="00130AB6" w:rsidRDefault="002C7D32">
            <w:pPr>
              <w:spacing w:after="0" w:line="259" w:lineRule="auto"/>
              <w:ind w:left="0" w:right="0" w:firstLine="0"/>
              <w:jc w:val="left"/>
            </w:pPr>
            <w:r>
              <w:rPr>
                <w:color w:val="595959"/>
              </w:rPr>
              <w:t>60</w:t>
            </w:r>
          </w:p>
        </w:tc>
      </w:tr>
    </w:tbl>
    <w:p w:rsidR="00130AB6" w:rsidRDefault="002C7D32">
      <w:pPr>
        <w:spacing w:after="190" w:line="250" w:lineRule="auto"/>
        <w:ind w:left="-5" w:right="0"/>
        <w:jc w:val="left"/>
      </w:pPr>
      <w:r>
        <w:rPr>
          <w:sz w:val="20"/>
        </w:rPr>
        <w:t>Fonte: Elaborado pelo autor</w:t>
      </w:r>
      <w:r>
        <w:rPr>
          <w:sz w:val="20"/>
        </w:rPr>
        <w:t xml:space="preserve"> (2023) </w:t>
      </w:r>
    </w:p>
    <w:p w:rsidR="00130AB6" w:rsidRDefault="002C7D32">
      <w:pPr>
        <w:spacing w:after="222" w:line="259" w:lineRule="auto"/>
        <w:ind w:left="0" w:right="0" w:firstLine="0"/>
        <w:jc w:val="left"/>
      </w:pPr>
      <w:r>
        <w:rPr>
          <w:sz w:val="20"/>
        </w:rPr>
        <w:t xml:space="preserve"> </w:t>
      </w:r>
    </w:p>
    <w:p w:rsidR="00130AB6" w:rsidRDefault="002C7D32">
      <w:pPr>
        <w:spacing w:after="317" w:line="259" w:lineRule="auto"/>
        <w:ind w:left="-5" w:right="167"/>
      </w:pPr>
      <w:r>
        <w:lastRenderedPageBreak/>
        <w:t>5.4.4 Tratamento</w:t>
      </w:r>
      <w:r>
        <w:rPr>
          <w:sz w:val="20"/>
        </w:rPr>
        <w:t xml:space="preserve"> </w:t>
      </w:r>
    </w:p>
    <w:p w:rsidR="00130AB6" w:rsidRDefault="002C7D32">
      <w:pPr>
        <w:ind w:left="-5" w:right="167"/>
      </w:pPr>
      <w:r>
        <w:t xml:space="preserve">Cerca de 100 (98%) indivíduos relataram que fazem a dieta restritiva de glúten e 2 (2%) relataram consumir alimentos que contém trigo, centeio, cevada e/ou aveia. </w:t>
      </w:r>
    </w:p>
    <w:p w:rsidR="00130AB6" w:rsidRDefault="002C7D32">
      <w:pPr>
        <w:spacing w:after="0" w:line="259" w:lineRule="auto"/>
        <w:ind w:left="0" w:right="0" w:firstLine="0"/>
        <w:jc w:val="left"/>
      </w:pPr>
      <w:r>
        <w:t xml:space="preserve"> </w:t>
      </w:r>
    </w:p>
    <w:p w:rsidR="00130AB6" w:rsidRDefault="002C7D32">
      <w:pPr>
        <w:pStyle w:val="Ttulo2"/>
        <w:ind w:left="388" w:right="0" w:hanging="403"/>
      </w:pPr>
      <w:bookmarkStart w:id="21" w:name="_Toc59553"/>
      <w:r>
        <w:t xml:space="preserve">Qualidade de vida </w:t>
      </w:r>
      <w:bookmarkEnd w:id="21"/>
    </w:p>
    <w:p w:rsidR="00130AB6" w:rsidRDefault="002C7D32">
      <w:pPr>
        <w:ind w:left="-5" w:right="167"/>
      </w:pPr>
      <w:r>
        <w:t xml:space="preserve">Cerca de 92 </w:t>
      </w:r>
      <w:r>
        <w:t xml:space="preserve">(90,2%) participantes afirmaram que a doença compromete sua qualidade de vida e 96 (94,1%) relataram que já se sentiram limitados ou excluídos por serem portadores da doença pelo menos uma vez na vida.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5"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4"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5"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t xml:space="preserve"> </w:t>
      </w:r>
    </w:p>
    <w:p w:rsidR="00130AB6" w:rsidRDefault="002C7D32">
      <w:pPr>
        <w:spacing w:after="316" w:line="259" w:lineRule="auto"/>
        <w:ind w:left="0" w:right="0" w:firstLine="0"/>
        <w:jc w:val="left"/>
      </w:pPr>
      <w:r>
        <w:lastRenderedPageBreak/>
        <w:t xml:space="preserve"> </w:t>
      </w:r>
    </w:p>
    <w:p w:rsidR="00130AB6" w:rsidRDefault="002C7D32">
      <w:pPr>
        <w:spacing w:after="0" w:line="259" w:lineRule="auto"/>
        <w:ind w:left="0" w:right="0" w:firstLine="0"/>
        <w:jc w:val="left"/>
      </w:pPr>
      <w:r>
        <w:t xml:space="preserve"> </w:t>
      </w:r>
    </w:p>
    <w:p w:rsidR="00130AB6" w:rsidRDefault="002C7D32">
      <w:pPr>
        <w:pStyle w:val="Ttulo1"/>
        <w:spacing w:after="11"/>
        <w:ind w:left="720" w:right="0" w:hanging="360"/>
      </w:pPr>
      <w:bookmarkStart w:id="22" w:name="_Toc59554"/>
      <w:r>
        <w:t xml:space="preserve">DISCUSSÃO </w:t>
      </w:r>
      <w:bookmarkEnd w:id="22"/>
    </w:p>
    <w:p w:rsidR="00130AB6" w:rsidRDefault="002C7D32">
      <w:pPr>
        <w:spacing w:after="316" w:line="259" w:lineRule="auto"/>
        <w:ind w:left="0" w:right="0" w:firstLine="0"/>
        <w:jc w:val="left"/>
      </w:pPr>
      <w:r>
        <w:t xml:space="preserve"> </w:t>
      </w:r>
    </w:p>
    <w:p w:rsidR="00130AB6" w:rsidRDefault="002C7D32">
      <w:pPr>
        <w:ind w:left="-5" w:right="167"/>
      </w:pPr>
      <w:r>
        <w:t>Nesse estudo, tornou-se possível visualizar o perfil dos portadores de doença celíaca da amostra e o impacto clínico-epidemiológico da condição, o que evidencia uma grande relevância ao tema tanto para a sociedade médica, quanto para civil. Ainda existem p</w:t>
      </w:r>
      <w:r>
        <w:t>oucas pesquisas e discussões relacionadas a doença celíaca, por isso, este trabalho tem como principal objetivo gerar conscientização sobre aspectos importantes da doença, a fim de que profissionais de saúde e pacientes estejam mais preparados para o manej</w:t>
      </w:r>
      <w:r>
        <w:t xml:space="preserve">o. </w:t>
      </w:r>
    </w:p>
    <w:p w:rsidR="00130AB6" w:rsidRDefault="002C7D32">
      <w:pPr>
        <w:ind w:left="-5" w:right="167"/>
      </w:pPr>
      <w:r>
        <w:t xml:space="preserve">Atualmente, sabe-se </w:t>
      </w:r>
      <w:r>
        <w:rPr>
          <w:color w:val="202124"/>
        </w:rPr>
        <w:t>que a doença celíaca é cosmopolita e afeta pessoas de todas as idades e classes sociais, porém, através da análise dos resultados, observou-se como o diagnóstico da doença pode depender diretamente do poder aquisitivo. Dentre os par</w:t>
      </w:r>
      <w:r>
        <w:rPr>
          <w:color w:val="202124"/>
        </w:rPr>
        <w:t xml:space="preserve">ticipantes, a maioria dos indivíduos </w:t>
      </w:r>
      <w:r>
        <w:t xml:space="preserve">relataram um salário entre 1 e 6 </w:t>
      </w:r>
      <w:proofErr w:type="spellStart"/>
      <w:r>
        <w:t>saláriosmínimos</w:t>
      </w:r>
      <w:proofErr w:type="spellEnd"/>
      <w:r>
        <w:t xml:space="preserve"> por mês e, ainda, referiram utilizar principalmente o setor privado para assistência à saúde. Ademais, a maioria relatou possuir como escolaridade um ensino superior comp</w:t>
      </w:r>
      <w:r>
        <w:t>leto. Logo, é possível inferir que se trata de uma realidade que não reflete a maioria da população do Brasil e, certamente, esse acesso privilegiado à educação e saúde facilita a obtenção de um diagnóstico precoce da doença e a garantia de um tratamento m</w:t>
      </w:r>
      <w:r>
        <w:t xml:space="preserve">ultidisciplinar de qualidade. </w:t>
      </w:r>
      <w:proofErr w:type="spellStart"/>
      <w:r>
        <w:t>Villafuerte-galvez</w:t>
      </w:r>
      <w:proofErr w:type="spellEnd"/>
      <w:r>
        <w:t xml:space="preserve"> J et al.</w:t>
      </w:r>
      <w:r>
        <w:rPr>
          <w:vertAlign w:val="superscript"/>
        </w:rPr>
        <w:t xml:space="preserve">17 </w:t>
      </w:r>
      <w:r>
        <w:t>(2015), ao explorar possíveis obstáculos para adesão ao tratamento da doença celíaca, concluiu que um nível de escolaridade mais elevado foi correlacionado com uma melhor adesão e um melhor conhec</w:t>
      </w:r>
      <w:r>
        <w:t>imento sobre a doença. Singh J et al.</w:t>
      </w:r>
      <w:r>
        <w:rPr>
          <w:vertAlign w:val="superscript"/>
        </w:rPr>
        <w:t>18</w:t>
      </w:r>
      <w:r>
        <w:t xml:space="preserve"> (2011) também relacionou a dificuldade no tratamento com o fator financeiro, visto que alimentos isentos de glúten são pouco disponíveis e possuem um preço consideravelmente elevado, comprometendo a adesão a dieta. </w:t>
      </w:r>
    </w:p>
    <w:p w:rsidR="00130AB6" w:rsidRDefault="002C7D32">
      <w:pPr>
        <w:ind w:left="-5" w:right="167"/>
      </w:pPr>
      <w:r>
        <w:t>Apesar de trabalhos prévios acusarem que a doença celíaca possui maior prevalência entre caucasianos (brancos) descendentes de europeus do norte, o presente estudo demonstrou a existência de uma maior diversidade racial da doença, visto que o número de cel</w:t>
      </w:r>
      <w:r>
        <w:t>íacos da amostra que se autodenominaram brancos foi quase equiparado ao número de celíacos que se autodenominaram pardos. Silva LA et al.</w:t>
      </w:r>
      <w:r>
        <w:rPr>
          <w:vertAlign w:val="superscript"/>
        </w:rPr>
        <w:t>19</w:t>
      </w:r>
      <w:r>
        <w:t xml:space="preserve"> </w:t>
      </w:r>
      <w:r>
        <w:lastRenderedPageBreak/>
        <w:t>(2020) obteve um resultado similar ao realizar um estudo com 62 pessoas portadoras de doença celíaca, dentre as quai</w:t>
      </w:r>
      <w:r>
        <w:t xml:space="preserve">s 32 se autodenominaram brancas e 20 se autodenominaram pardas. Portanto, esse dado evidencia que a miscigenação no Brasil vem rompendo a barreira étnico-racial, principalmente na Bahia, confirmando que a doença afeta todas as raças e etnias. </w:t>
      </w:r>
    </w:p>
    <w:p w:rsidR="00130AB6" w:rsidRDefault="002C7D32">
      <w:pPr>
        <w:ind w:left="-5" w:right="167"/>
      </w:pPr>
      <w:r>
        <w:t xml:space="preserve">Outrossim, os resultados apontam uma significativa predominância do sexo feminino sobre o masculino, dado que é confirmado por outros estudos populacionais sobre a doença celíaca em todo o mundo. No âmbito internacional, </w:t>
      </w:r>
      <w:proofErr w:type="spellStart"/>
      <w:r>
        <w:t>Ivarsson</w:t>
      </w:r>
      <w:proofErr w:type="spellEnd"/>
      <w:r>
        <w:rPr>
          <w:color w:val="212121"/>
        </w:rPr>
        <w:t xml:space="preserve"> A</w:t>
      </w:r>
      <w:r>
        <w:t xml:space="preserve"> et al.</w:t>
      </w:r>
      <w:r>
        <w:rPr>
          <w:vertAlign w:val="superscript"/>
        </w:rPr>
        <w:t>20</w:t>
      </w:r>
      <w:r>
        <w:t xml:space="preserve"> (2003) </w:t>
      </w:r>
      <w:r>
        <w:rPr>
          <w:shd w:val="clear" w:color="auto" w:fill="FCFCFC"/>
        </w:rPr>
        <w:t>percebeu</w:t>
      </w:r>
      <w:r>
        <w:rPr>
          <w:shd w:val="clear" w:color="auto" w:fill="FCFCFC"/>
        </w:rPr>
        <w:t xml:space="preserve"> um risco duas vezes maior para a doença celíaca em pessoas do sexo</w:t>
      </w:r>
      <w:r>
        <w:t xml:space="preserve"> </w:t>
      </w:r>
      <w:r>
        <w:rPr>
          <w:shd w:val="clear" w:color="auto" w:fill="FCFCFC"/>
        </w:rPr>
        <w:t>feminino na Europa.</w:t>
      </w:r>
      <w:r>
        <w:t xml:space="preserve"> </w:t>
      </w:r>
    </w:p>
    <w:p w:rsidR="00130AB6" w:rsidRDefault="002C7D32">
      <w:pPr>
        <w:ind w:left="-5" w:right="167"/>
      </w:pPr>
      <w:r>
        <w:t xml:space="preserve">Mais da metade dos participantes celíacos referiram não possuir familiares com um diagnóstico de doença celíaca. Esse resultado pode refletir um </w:t>
      </w:r>
      <w:proofErr w:type="spellStart"/>
      <w:r>
        <w:t>subdiagnóstico</w:t>
      </w:r>
      <w:proofErr w:type="spellEnd"/>
      <w:r>
        <w:t xml:space="preserve">, visto </w:t>
      </w:r>
      <w:r>
        <w:t>que é comprovado que boa parte da população brasileira demonstra predisposição genética ao desenvolvimento da doença celíaca. Portanto, tratando-se de uma doença hereditária, espera-se que mais pessoas possuam uma manifestação insidiosa ainda não diagnosti</w:t>
      </w:r>
      <w:r>
        <w:t>cada. Muniz JG et al.</w:t>
      </w:r>
      <w:r>
        <w:rPr>
          <w:vertAlign w:val="superscript"/>
        </w:rPr>
        <w:t>5</w:t>
      </w:r>
      <w:r>
        <w:t xml:space="preserve"> (2016) obteve tal conclusão em um estudo sobre a prevalência da predisposição genética para doença celíaca nos doadores de sangue em São Paulo, no qual os achados demonstraram que a doença não deve ser rara no Brasil, mas sim </w:t>
      </w:r>
      <w:proofErr w:type="spellStart"/>
      <w:r>
        <w:t>subdiag</w:t>
      </w:r>
      <w:r>
        <w:t>nosticada</w:t>
      </w:r>
      <w:proofErr w:type="spellEnd"/>
      <w:r>
        <w:t xml:space="preserve">. </w:t>
      </w:r>
    </w:p>
    <w:p w:rsidR="00130AB6" w:rsidRDefault="002C7D32">
      <w:pPr>
        <w:ind w:left="-5" w:right="167"/>
      </w:pPr>
      <w:r>
        <w:t>Ao abordar as manifestações clínicas da doença celíaca, observa-se que quase a totalidade dos participantes descreveram um quadro clínico “típico”, relacionado a apresentação clássica da doença celíaca. Dentre esses, foram relatados como sintom</w:t>
      </w:r>
      <w:r>
        <w:t>as atuais da doença: flatulências, distensão abdominal, dor abdominal, constipação, pirose e diarreia. Além disso, a maioria dos indivíduos no estudo referiram estarem sintomáticos no momento do diagnóstico, sendo a diarreia o sinal mais frequente relatado</w:t>
      </w:r>
      <w:r>
        <w:t xml:space="preserve"> como primeira manifestação da doença. Esses resultados são similares a outros estudos</w:t>
      </w:r>
      <w:r>
        <w:rPr>
          <w:vertAlign w:val="superscript"/>
        </w:rPr>
        <w:t>21</w:t>
      </w:r>
      <w:r>
        <w:t>. No entanto, é possível notar que uma parte dos portadores avaliados no estudo apresentaram sinais e sintomas sistêmicos, o que evidencia a grande variedade na sintoma</w:t>
      </w:r>
      <w:r>
        <w:t xml:space="preserve">tologia da doença celíaca.  </w:t>
      </w:r>
    </w:p>
    <w:p w:rsidR="00130AB6" w:rsidRDefault="002C7D32">
      <w:pPr>
        <w:ind w:left="-5" w:right="167"/>
      </w:pPr>
      <w:r>
        <w:t>Acerca do método de rastreamento da doença, quase a totalidade dos celíacos informaram ter realizado endoscopia digestiva alta associada a biópsia duodenal, na qual acusou atrofia de vilosidades no padrão de doença celíaca. Ain</w:t>
      </w:r>
      <w:r>
        <w:t xml:space="preserve">da, muitos </w:t>
      </w:r>
      <w:r>
        <w:lastRenderedPageBreak/>
        <w:t xml:space="preserve">participantes também realizaram testes sorológicos (destaca-se os anticorpos </w:t>
      </w:r>
      <w:proofErr w:type="spellStart"/>
      <w:r>
        <w:t>antiendomísio</w:t>
      </w:r>
      <w:proofErr w:type="spellEnd"/>
      <w:r>
        <w:t xml:space="preserve"> e </w:t>
      </w:r>
      <w:proofErr w:type="spellStart"/>
      <w:r>
        <w:t>anti-transglutaminase</w:t>
      </w:r>
      <w:proofErr w:type="spellEnd"/>
      <w:r>
        <w:t xml:space="preserve">) e obtiveram resultados positivos. As recomendações oficiais do Instituto da Associação Americana de </w:t>
      </w:r>
      <w:proofErr w:type="spellStart"/>
      <w:r>
        <w:t>Gastroenterologia</w:t>
      </w:r>
      <w:proofErr w:type="spellEnd"/>
      <w:r>
        <w:t xml:space="preserve"> ditam que o</w:t>
      </w:r>
      <w:r>
        <w:t>s exames de IgA tornaram-se uma forma relativamente sensível e específica de detectar inicialmente a doença celíaca</w:t>
      </w:r>
      <w:r>
        <w:rPr>
          <w:vertAlign w:val="superscript"/>
        </w:rPr>
        <w:t>22</w:t>
      </w:r>
      <w:r>
        <w:t>. No entanto, reafirma que amostras de biópsia duodenal distal da endoscopia digestiva alta demonstrando alterações histológicas caracterís</w:t>
      </w:r>
      <w:r>
        <w:t xml:space="preserve">ticas na mucosa do intestino delgado permanece sendo o exame padrão-ouro, necessário para fechar o diagnóstico. </w:t>
      </w:r>
    </w:p>
    <w:p w:rsidR="00130AB6" w:rsidRDefault="002C7D32">
      <w:pPr>
        <w:ind w:left="-5" w:right="167"/>
      </w:pPr>
      <w:r>
        <w:t xml:space="preserve">Um dos principais desafios no diagnóstico da doença celíaca é a dificuldade de </w:t>
      </w:r>
      <w:proofErr w:type="spellStart"/>
      <w:r>
        <w:t>obtê</w:t>
      </w:r>
      <w:r>
        <w:t>lo</w:t>
      </w:r>
      <w:proofErr w:type="spellEnd"/>
      <w:r>
        <w:t xml:space="preserve"> precocemente para melhora do prognóstico e da qualidade de vida. A maioria dos participantes no estudo afirmaram ter descoberto a doença tardiamente, após mais de 1 ano entre o tempo de aparecimento dos sintomas até o diagnóstico. Ainda, outros indivídu</w:t>
      </w:r>
      <w:r>
        <w:t xml:space="preserve">os relataram um atraso de mais de 20 anos. Na literatura, mais estudos concordam que o diagnóstico da doença celíaca seja considerado difícil. </w:t>
      </w:r>
      <w:proofErr w:type="spellStart"/>
      <w:r>
        <w:rPr>
          <w:color w:val="212121"/>
        </w:rPr>
        <w:t>Fuchs</w:t>
      </w:r>
      <w:proofErr w:type="spellEnd"/>
      <w:r>
        <w:rPr>
          <w:color w:val="212121"/>
        </w:rPr>
        <w:t xml:space="preserve"> V</w:t>
      </w:r>
      <w:r>
        <w:t xml:space="preserve"> et al.</w:t>
      </w:r>
      <w:r>
        <w:rPr>
          <w:vertAlign w:val="superscript"/>
        </w:rPr>
        <w:t>23</w:t>
      </w:r>
      <w:r>
        <w:t xml:space="preserve"> (2018) explica que, dentre os fatores que explicam esse </w:t>
      </w:r>
      <w:proofErr w:type="spellStart"/>
      <w:r>
        <w:t>delongamento</w:t>
      </w:r>
      <w:proofErr w:type="spellEnd"/>
      <w:r>
        <w:t>, tem-se que não há manifest</w:t>
      </w:r>
      <w:r>
        <w:t xml:space="preserve">ações clínicas exclusivas a essa patologia e, somado a isso, o despreparo de muitos profissionais de saúde a respeito dos métodos diagnósticos adequados. Essa noção também foi demonstrada dentre os participantes do estudo, os quais atribuíram o retardo no </w:t>
      </w:r>
      <w:r>
        <w:t>diagnóstico principalmente a uma falta de conhecimento da equipe médica sobre a doença.</w:t>
      </w:r>
      <w:r>
        <w:rPr>
          <w:rFonts w:ascii="Calibri" w:eastAsia="Calibri" w:hAnsi="Calibri" w:cs="Calibri"/>
          <w:sz w:val="22"/>
        </w:rPr>
        <w:t xml:space="preserve"> </w:t>
      </w:r>
    </w:p>
    <w:p w:rsidR="00130AB6" w:rsidRDefault="002C7D32">
      <w:pPr>
        <w:ind w:left="-5" w:right="167"/>
      </w:pPr>
      <w:r>
        <w:t>Avaliando os sintomas dos indivíduos que receberam um diagnóstico tardio (considerado a partir de 1 ano entre o tempo do aparecimento dos sintomas até o diagnóstico) e</w:t>
      </w:r>
      <w:r>
        <w:t xml:space="preserve"> aqueles que obtiveram um diagnóstico precoce (menos de 1 ano), não foram encontradas diferenças entre as primeiras manifestações da doença nos dois grupos. No entanto, observou-se que a maioria dos indivíduos que se denominaram assintomáticos descobriram </w:t>
      </w:r>
      <w:r>
        <w:t>a doença tardiamente.</w:t>
      </w:r>
      <w:r>
        <w:rPr>
          <w:color w:val="FF0000"/>
        </w:rPr>
        <w:t xml:space="preserve"> </w:t>
      </w:r>
    </w:p>
    <w:p w:rsidR="00130AB6" w:rsidRDefault="002C7D32">
      <w:pPr>
        <w:ind w:left="-5" w:right="167"/>
      </w:pPr>
      <w:r>
        <w:t xml:space="preserve">Avaliando a presença de comorbidades associadas, foi perceptível a relação da doença celíaca com outras condições, visto que muitos portadores relataram os mesmos problemas. Dentre elas, destaca-se a dermatite </w:t>
      </w:r>
      <w:proofErr w:type="spellStart"/>
      <w:r>
        <w:t>herpetiforme</w:t>
      </w:r>
      <w:proofErr w:type="spellEnd"/>
      <w:r>
        <w:t>, seguida d</w:t>
      </w:r>
      <w:r>
        <w:t xml:space="preserve">e intolerância à lactose, doenças tireoidianas, anemia, osteopenia e síndrome do intestino irritável. </w:t>
      </w:r>
      <w:proofErr w:type="spellStart"/>
      <w:r>
        <w:t>Kotze</w:t>
      </w:r>
      <w:proofErr w:type="spellEnd"/>
      <w:r>
        <w:t xml:space="preserve"> LM et al.</w:t>
      </w:r>
      <w:r>
        <w:rPr>
          <w:vertAlign w:val="superscript"/>
        </w:rPr>
        <w:t>24</w:t>
      </w:r>
      <w:r>
        <w:t xml:space="preserve"> (2009) identificou a alta presença da dermatite </w:t>
      </w:r>
      <w:proofErr w:type="spellStart"/>
      <w:r>
        <w:t>herpetiforme</w:t>
      </w:r>
      <w:proofErr w:type="spellEnd"/>
      <w:r>
        <w:t xml:space="preserve"> entre os celíacos, considerando uma manifestação cutânea da doença </w:t>
      </w:r>
      <w:r>
        <w:lastRenderedPageBreak/>
        <w:t>que afet</w:t>
      </w:r>
      <w:r>
        <w:t xml:space="preserve">a cerca de 25% dos portadores. Na pesquisa citada, a dermatite </w:t>
      </w:r>
      <w:proofErr w:type="spellStart"/>
      <w:r>
        <w:t>herpetiforme</w:t>
      </w:r>
      <w:proofErr w:type="spellEnd"/>
      <w:r>
        <w:t xml:space="preserve"> foi detectada em 11,5% dos participantes. Ainda, considerou que as doenças da tireoide são os distúrbios autoimunes mais comumente detectados na doença celíaca, detectada em 15,9% </w:t>
      </w:r>
      <w:r>
        <w:t xml:space="preserve">da amostra. Por fim, a anemia e baixa massa óssea foram condições prevalentes dentre os celíacos, assim como no presente estudo. </w:t>
      </w:r>
    </w:p>
    <w:p w:rsidR="00130AB6" w:rsidRDefault="002C7D32">
      <w:pPr>
        <w:ind w:left="-5" w:right="167"/>
      </w:pPr>
      <w:r>
        <w:t>Os resultados apontam que quase a totalidade dos participantes afirmaram que a doença celíaca compromete a qualidade de vida e</w:t>
      </w:r>
      <w:r>
        <w:t>, além disso, relataram um sentimento de limitação e/ou exclusão por serem portadores. Araújo HM et al.</w:t>
      </w:r>
      <w:r>
        <w:rPr>
          <w:vertAlign w:val="superscript"/>
        </w:rPr>
        <w:t>25</w:t>
      </w:r>
      <w:r>
        <w:t xml:space="preserve"> (2010) embasa esse dado ao discutir sobre como a adesão a uma dieta sem glúten influencia na qualidade de vida dos celíacos. Nesse estudo, é descrito </w:t>
      </w:r>
      <w:r>
        <w:t xml:space="preserve">como situações cotidianas como viajar, comer em restaurantes ou participar de eventos festivos podem se tornar um problema na vida social do celíaco, pois o acesso a alimentos que não possuem glúten é extremamente limitado.  </w:t>
      </w:r>
    </w:p>
    <w:p w:rsidR="00130AB6" w:rsidRDefault="002C7D32">
      <w:pPr>
        <w:ind w:left="-5" w:right="167"/>
      </w:pPr>
      <w:r>
        <w:t>Por fim, no que tange as limit</w:t>
      </w:r>
      <w:r>
        <w:t xml:space="preserve">ações do estudo, vale ressaltar que os dados traduzem a amostragem do estudo, sendo ela uma amostra de conveniência entre participantes da ACELBRA-BA, na qual houve uma significativa predominância de pessoas do sexo feminino e na idade adulta. Além disso, </w:t>
      </w:r>
      <w:r>
        <w:t xml:space="preserve">a maioria dos participantes possuíam um nível socioeconômico acima da média e a participação na associação facilita ainda mais o acesso à informação sobre a doença. Por isso, não é possível afirmar que reflete a realidade de todos os celíacos. </w:t>
      </w:r>
    </w:p>
    <w:p w:rsidR="00130AB6" w:rsidRDefault="002C7D32">
      <w:pPr>
        <w:spacing w:after="0" w:line="450" w:lineRule="auto"/>
        <w:ind w:left="0" w:right="9182" w:firstLine="0"/>
        <w:jc w:val="left"/>
      </w:pPr>
      <w:r>
        <w:rPr>
          <w:b/>
        </w:rPr>
        <w:t xml:space="preserve">           </w:t>
      </w:r>
    </w:p>
    <w:p w:rsidR="00130AB6" w:rsidRDefault="002C7D32">
      <w:pPr>
        <w:pStyle w:val="Ttulo1"/>
        <w:spacing w:after="2"/>
        <w:ind w:left="720" w:right="0" w:hanging="360"/>
      </w:pPr>
      <w:bookmarkStart w:id="23" w:name="_Toc59555"/>
      <w:r>
        <w:t xml:space="preserve">CONCLUSÃO </w:t>
      </w:r>
      <w:bookmarkEnd w:id="23"/>
    </w:p>
    <w:p w:rsidR="00130AB6" w:rsidRDefault="002C7D32">
      <w:pPr>
        <w:spacing w:after="235" w:line="259" w:lineRule="auto"/>
        <w:ind w:left="0" w:right="0" w:firstLine="0"/>
        <w:jc w:val="left"/>
      </w:pPr>
      <w:r>
        <w:rPr>
          <w:rFonts w:ascii="Calibri" w:eastAsia="Calibri" w:hAnsi="Calibri" w:cs="Calibri"/>
          <w:sz w:val="22"/>
        </w:rPr>
        <w:t xml:space="preserve"> </w:t>
      </w:r>
    </w:p>
    <w:p w:rsidR="00130AB6" w:rsidRDefault="002C7D32">
      <w:pPr>
        <w:ind w:left="-5" w:right="167"/>
      </w:pPr>
      <w:r>
        <w:t>Através da análise dos resultados, observou-se que o perfil epidemiológico dos portadores de doença celíaca da amostra é composto predominantemente por mulheres em idade adulta e residentes da cidade de Salvador. Ainda, o perfil clínico corre</w:t>
      </w:r>
      <w:r>
        <w:t>sponde, em sua maioria, à apresentação clássica, na qual sobreleva-se os sintomas gastrointestinais. Demonstrou-se também que o atraso no diagnóstico é frequente e implica diretamente no prognóstico. O perfil socioeconômico dos portadores e as variadas man</w:t>
      </w:r>
      <w:r>
        <w:t xml:space="preserve">ifestações da doença parecem ser alguns dos fatores responsáveis por esse retardamento. Portanto, os conhecimentos obtidos no estudo corroboram com teorias sedimentadas na literatura. </w:t>
      </w:r>
    </w:p>
    <w:p w:rsidR="00130AB6" w:rsidRDefault="002C7D32">
      <w:pPr>
        <w:ind w:left="-5" w:right="167"/>
      </w:pPr>
      <w:r>
        <w:lastRenderedPageBreak/>
        <w:t>Dessa forma, ações de políticas públicas voltadas a conscientização dev</w:t>
      </w:r>
      <w:r>
        <w:t xml:space="preserve">em ser realizadas para alertar a população, com o objetivo de disseminar informações relevantes sobre a doença. Além disso, faz-se necessária uma melhor capacitação de profissionais de saúde para conduzir o diagnóstico e tratamento. Novos trabalhos também </w:t>
      </w:r>
      <w:r>
        <w:t>devem ser realizados para melhor entender os mecanismos da doença celíaca. Por fim, ressalta-se a importância da ACELBRA (Associação dos Celíacos do Brasil) ao criar uma rede de apoio entre os portadores, visto que realiza ações educacionais em saúde e aux</w:t>
      </w:r>
      <w:r>
        <w:t xml:space="preserve">ilia no processo de tratamento da doença. </w:t>
      </w:r>
    </w:p>
    <w:p w:rsidR="00130AB6" w:rsidRDefault="002C7D32">
      <w:pPr>
        <w:spacing w:after="316" w:line="259" w:lineRule="auto"/>
        <w:ind w:left="0" w:right="0" w:firstLine="0"/>
        <w:jc w:val="left"/>
      </w:pPr>
      <w:r>
        <w:rPr>
          <w:color w:val="FF0000"/>
        </w:rPr>
        <w:t xml:space="preserve"> </w:t>
      </w:r>
    </w:p>
    <w:p w:rsidR="00130AB6" w:rsidRDefault="002C7D32">
      <w:pPr>
        <w:spacing w:after="0" w:line="259" w:lineRule="auto"/>
        <w:ind w:left="0" w:right="0" w:firstLine="0"/>
        <w:jc w:val="left"/>
      </w:pPr>
      <w:r>
        <w:t xml:space="preserve"> </w:t>
      </w:r>
    </w:p>
    <w:p w:rsidR="00130AB6" w:rsidRDefault="002C7D32">
      <w:pPr>
        <w:pStyle w:val="Ttulo1"/>
        <w:spacing w:after="0" w:line="259" w:lineRule="auto"/>
        <w:ind w:left="360" w:right="6730" w:hanging="360"/>
        <w:jc w:val="right"/>
      </w:pPr>
      <w:bookmarkStart w:id="24" w:name="_Toc59556"/>
      <w:r>
        <w:t xml:space="preserve">CRONOGRAMA </w:t>
      </w:r>
      <w:bookmarkEnd w:id="24"/>
    </w:p>
    <w:tbl>
      <w:tblPr>
        <w:tblStyle w:val="TableGrid"/>
        <w:tblW w:w="10377" w:type="dxa"/>
        <w:tblInd w:w="-880" w:type="dxa"/>
        <w:tblCellMar>
          <w:top w:w="13" w:type="dxa"/>
          <w:left w:w="107" w:type="dxa"/>
          <w:bottom w:w="0" w:type="dxa"/>
          <w:right w:w="0" w:type="dxa"/>
        </w:tblCellMar>
        <w:tblLook w:val="04A0" w:firstRow="1" w:lastRow="0" w:firstColumn="1" w:lastColumn="0" w:noHBand="0" w:noVBand="1"/>
      </w:tblPr>
      <w:tblGrid>
        <w:gridCol w:w="2231"/>
        <w:gridCol w:w="340"/>
        <w:gridCol w:w="339"/>
        <w:gridCol w:w="341"/>
        <w:gridCol w:w="338"/>
        <w:gridCol w:w="341"/>
        <w:gridCol w:w="341"/>
        <w:gridCol w:w="338"/>
        <w:gridCol w:w="341"/>
        <w:gridCol w:w="341"/>
        <w:gridCol w:w="339"/>
        <w:gridCol w:w="341"/>
        <w:gridCol w:w="343"/>
        <w:gridCol w:w="341"/>
        <w:gridCol w:w="341"/>
        <w:gridCol w:w="338"/>
        <w:gridCol w:w="341"/>
        <w:gridCol w:w="341"/>
        <w:gridCol w:w="338"/>
        <w:gridCol w:w="341"/>
        <w:gridCol w:w="341"/>
        <w:gridCol w:w="338"/>
        <w:gridCol w:w="341"/>
        <w:gridCol w:w="343"/>
        <w:gridCol w:w="319"/>
      </w:tblGrid>
      <w:tr w:rsidR="00130AB6">
        <w:trPr>
          <w:trHeight w:val="661"/>
        </w:trPr>
        <w:tc>
          <w:tcPr>
            <w:tcW w:w="2232"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130AB6" w:rsidRDefault="002C7D32">
            <w:pPr>
              <w:spacing w:after="220" w:line="259" w:lineRule="auto"/>
              <w:ind w:left="0" w:right="107" w:firstLine="0"/>
              <w:jc w:val="center"/>
            </w:pPr>
            <w:r>
              <w:rPr>
                <w:b/>
              </w:rPr>
              <w:t xml:space="preserve">Atividade/  </w:t>
            </w:r>
          </w:p>
          <w:p w:rsidR="00130AB6" w:rsidRDefault="002C7D32">
            <w:pPr>
              <w:spacing w:after="0" w:line="259" w:lineRule="auto"/>
              <w:ind w:left="0" w:right="105" w:firstLine="0"/>
              <w:jc w:val="center"/>
            </w:pPr>
            <w:r>
              <w:rPr>
                <w:b/>
              </w:rPr>
              <w:t xml:space="preserve">meses </w:t>
            </w:r>
          </w:p>
        </w:tc>
        <w:tc>
          <w:tcPr>
            <w:tcW w:w="4082" w:type="dxa"/>
            <w:gridSpan w:val="12"/>
            <w:tcBorders>
              <w:top w:val="single" w:sz="4" w:space="0" w:color="000000"/>
              <w:left w:val="single" w:sz="4" w:space="0" w:color="000000"/>
              <w:bottom w:val="single" w:sz="4" w:space="0" w:color="000000"/>
              <w:right w:val="single" w:sz="4" w:space="0" w:color="000000"/>
            </w:tcBorders>
            <w:shd w:val="clear" w:color="auto" w:fill="D9D9D9"/>
          </w:tcPr>
          <w:p w:rsidR="00130AB6" w:rsidRDefault="002C7D32">
            <w:pPr>
              <w:spacing w:after="0" w:line="259" w:lineRule="auto"/>
              <w:ind w:left="0" w:right="109" w:firstLine="0"/>
              <w:jc w:val="center"/>
            </w:pPr>
            <w:r>
              <w:rPr>
                <w:b/>
              </w:rPr>
              <w:t xml:space="preserve">2022 </w:t>
            </w:r>
          </w:p>
        </w:tc>
        <w:tc>
          <w:tcPr>
            <w:tcW w:w="4063" w:type="dxa"/>
            <w:gridSpan w:val="12"/>
            <w:tcBorders>
              <w:top w:val="single" w:sz="4" w:space="0" w:color="000000"/>
              <w:left w:val="single" w:sz="4" w:space="0" w:color="000000"/>
              <w:bottom w:val="single" w:sz="4" w:space="0" w:color="000000"/>
              <w:right w:val="single" w:sz="4" w:space="0" w:color="000000"/>
            </w:tcBorders>
            <w:shd w:val="clear" w:color="auto" w:fill="D9D9D9"/>
          </w:tcPr>
          <w:p w:rsidR="00130AB6" w:rsidRDefault="002C7D32">
            <w:pPr>
              <w:spacing w:after="0" w:line="259" w:lineRule="auto"/>
              <w:ind w:left="0" w:right="106" w:firstLine="0"/>
              <w:jc w:val="center"/>
            </w:pPr>
            <w:r>
              <w:rPr>
                <w:b/>
              </w:rPr>
              <w:t xml:space="preserve">2023 </w:t>
            </w:r>
          </w:p>
        </w:tc>
      </w:tr>
      <w:tr w:rsidR="00130AB6">
        <w:trPr>
          <w:trHeight w:val="1160"/>
        </w:trPr>
        <w:tc>
          <w:tcPr>
            <w:tcW w:w="0" w:type="auto"/>
            <w:vMerge/>
            <w:tcBorders>
              <w:top w:val="nil"/>
              <w:left w:val="single" w:sz="4" w:space="0" w:color="000000"/>
              <w:bottom w:val="single" w:sz="4" w:space="0" w:color="000000"/>
              <w:right w:val="single" w:sz="4" w:space="0" w:color="000000"/>
            </w:tcBorders>
          </w:tcPr>
          <w:p w:rsidR="00130AB6" w:rsidRDefault="00130AB6">
            <w:pPr>
              <w:spacing w:after="160" w:line="259" w:lineRule="auto"/>
              <w:ind w:left="0" w:right="0" w:firstLine="0"/>
              <w:jc w:val="left"/>
            </w:pPr>
          </w:p>
        </w:tc>
        <w:tc>
          <w:tcPr>
            <w:tcW w:w="340"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0" w:right="0" w:firstLine="0"/>
            </w:pPr>
            <w:r>
              <w:rPr>
                <w:b/>
                <w:color w:val="FFFFFF"/>
              </w:rPr>
              <w:t>J</w:t>
            </w:r>
          </w:p>
          <w:p w:rsidR="00130AB6" w:rsidRDefault="002C7D32">
            <w:pPr>
              <w:spacing w:after="19" w:line="259" w:lineRule="auto"/>
              <w:ind w:left="0" w:right="0" w:firstLine="0"/>
            </w:pPr>
            <w:r>
              <w:rPr>
                <w:b/>
                <w:color w:val="FFFFFF"/>
              </w:rPr>
              <w:t>A</w:t>
            </w:r>
          </w:p>
          <w:p w:rsidR="00130AB6" w:rsidRDefault="002C7D32">
            <w:pPr>
              <w:spacing w:after="0" w:line="259" w:lineRule="auto"/>
              <w:ind w:left="0" w:right="0" w:firstLine="0"/>
            </w:pPr>
            <w:r>
              <w:rPr>
                <w:b/>
                <w:color w:val="FFFFFF"/>
              </w:rPr>
              <w:t xml:space="preserve">N </w:t>
            </w:r>
          </w:p>
        </w:tc>
        <w:tc>
          <w:tcPr>
            <w:tcW w:w="339"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F</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pPr>
            <w:r>
              <w:rPr>
                <w:b/>
                <w:color w:val="FFFFFF"/>
              </w:rPr>
              <w:t xml:space="preserve">V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M</w:t>
            </w:r>
          </w:p>
          <w:p w:rsidR="00130AB6" w:rsidRDefault="002C7D32">
            <w:pPr>
              <w:spacing w:after="19" w:line="259" w:lineRule="auto"/>
              <w:ind w:left="1" w:right="0" w:firstLine="0"/>
            </w:pPr>
            <w:r>
              <w:rPr>
                <w:b/>
                <w:color w:val="FFFFFF"/>
              </w:rPr>
              <w:t>A</w:t>
            </w:r>
          </w:p>
          <w:p w:rsidR="00130AB6" w:rsidRDefault="002C7D32">
            <w:pPr>
              <w:spacing w:after="0" w:line="259" w:lineRule="auto"/>
              <w:ind w:left="1" w:right="0" w:firstLine="0"/>
            </w:pPr>
            <w:r>
              <w:rPr>
                <w:b/>
                <w:color w:val="FFFFFF"/>
              </w:rPr>
              <w:t xml:space="preserve">R </w:t>
            </w:r>
          </w:p>
        </w:tc>
        <w:tc>
          <w:tcPr>
            <w:tcW w:w="33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A</w:t>
            </w:r>
          </w:p>
          <w:p w:rsidR="00130AB6" w:rsidRDefault="002C7D32">
            <w:pPr>
              <w:spacing w:after="19" w:line="259" w:lineRule="auto"/>
              <w:ind w:left="1" w:right="0" w:firstLine="0"/>
            </w:pPr>
            <w:r>
              <w:rPr>
                <w:b/>
                <w:color w:val="FFFFFF"/>
              </w:rPr>
              <w:t>B</w:t>
            </w:r>
          </w:p>
          <w:p w:rsidR="00130AB6" w:rsidRDefault="002C7D32">
            <w:pPr>
              <w:spacing w:after="0" w:line="259" w:lineRule="auto"/>
              <w:ind w:left="1" w:right="0" w:firstLine="0"/>
            </w:pPr>
            <w:r>
              <w:rPr>
                <w:b/>
                <w:color w:val="FFFFFF"/>
              </w:rPr>
              <w:t xml:space="preserve">R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M</w:t>
            </w:r>
          </w:p>
          <w:p w:rsidR="00130AB6" w:rsidRDefault="002C7D32">
            <w:pPr>
              <w:spacing w:after="19" w:line="259" w:lineRule="auto"/>
              <w:ind w:left="1" w:right="0" w:firstLine="0"/>
            </w:pPr>
            <w:r>
              <w:rPr>
                <w:b/>
                <w:color w:val="FFFFFF"/>
              </w:rPr>
              <w:t>A</w:t>
            </w:r>
          </w:p>
          <w:p w:rsidR="00130AB6" w:rsidRDefault="002C7D32">
            <w:pPr>
              <w:spacing w:after="0" w:line="259" w:lineRule="auto"/>
              <w:ind w:left="0" w:right="107" w:firstLine="0"/>
              <w:jc w:val="center"/>
            </w:pPr>
            <w:r>
              <w:rPr>
                <w:b/>
                <w:color w:val="FFFFFF"/>
              </w:rPr>
              <w:t xml:space="preserve">I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J</w:t>
            </w:r>
          </w:p>
          <w:p w:rsidR="00130AB6" w:rsidRDefault="002C7D32">
            <w:pPr>
              <w:spacing w:after="19" w:line="259" w:lineRule="auto"/>
              <w:ind w:left="1" w:right="0" w:firstLine="0"/>
            </w:pPr>
            <w:r>
              <w:rPr>
                <w:b/>
                <w:color w:val="FFFFFF"/>
              </w:rPr>
              <w:t>U</w:t>
            </w:r>
          </w:p>
          <w:p w:rsidR="00130AB6" w:rsidRDefault="002C7D32">
            <w:pPr>
              <w:spacing w:after="0" w:line="259" w:lineRule="auto"/>
              <w:ind w:left="1" w:right="0" w:firstLine="0"/>
            </w:pPr>
            <w:r>
              <w:rPr>
                <w:b/>
                <w:color w:val="FFFFFF"/>
              </w:rPr>
              <w:t xml:space="preserve">N </w:t>
            </w:r>
          </w:p>
        </w:tc>
        <w:tc>
          <w:tcPr>
            <w:tcW w:w="33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J</w:t>
            </w:r>
          </w:p>
          <w:p w:rsidR="00130AB6" w:rsidRDefault="002C7D32">
            <w:pPr>
              <w:spacing w:after="19" w:line="259" w:lineRule="auto"/>
              <w:ind w:left="1" w:right="0" w:firstLine="0"/>
            </w:pPr>
            <w:r>
              <w:rPr>
                <w:b/>
                <w:color w:val="FFFFFF"/>
              </w:rPr>
              <w:t>U</w:t>
            </w:r>
          </w:p>
          <w:p w:rsidR="00130AB6" w:rsidRDefault="002C7D32">
            <w:pPr>
              <w:spacing w:after="0" w:line="259" w:lineRule="auto"/>
              <w:ind w:left="1" w:right="0" w:firstLine="0"/>
              <w:jc w:val="left"/>
            </w:pPr>
            <w:r>
              <w:rPr>
                <w:b/>
                <w:color w:val="FFFFFF"/>
              </w:rPr>
              <w:t xml:space="preserve">L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A</w:t>
            </w:r>
          </w:p>
          <w:p w:rsidR="00130AB6" w:rsidRDefault="002C7D32">
            <w:pPr>
              <w:spacing w:after="19" w:line="259" w:lineRule="auto"/>
              <w:ind w:left="1" w:right="0" w:firstLine="0"/>
            </w:pPr>
            <w:r>
              <w:rPr>
                <w:b/>
                <w:color w:val="FFFFFF"/>
              </w:rPr>
              <w:t>G</w:t>
            </w:r>
          </w:p>
          <w:p w:rsidR="00130AB6" w:rsidRDefault="002C7D32">
            <w:pPr>
              <w:spacing w:after="0" w:line="259" w:lineRule="auto"/>
              <w:ind w:left="1" w:right="0" w:firstLine="0"/>
            </w:pPr>
            <w:r>
              <w:rPr>
                <w:b/>
                <w:color w:val="FFFFFF"/>
              </w:rPr>
              <w:t xml:space="preserve">O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S</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jc w:val="left"/>
            </w:pPr>
            <w:r>
              <w:rPr>
                <w:b/>
                <w:color w:val="FFFFFF"/>
              </w:rPr>
              <w:t xml:space="preserve">T </w:t>
            </w:r>
          </w:p>
        </w:tc>
        <w:tc>
          <w:tcPr>
            <w:tcW w:w="339"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2" w:right="0" w:firstLine="0"/>
            </w:pPr>
            <w:r>
              <w:rPr>
                <w:b/>
                <w:color w:val="FFFFFF"/>
              </w:rPr>
              <w:t>O</w:t>
            </w:r>
          </w:p>
          <w:p w:rsidR="00130AB6" w:rsidRDefault="002C7D32">
            <w:pPr>
              <w:spacing w:after="19" w:line="259" w:lineRule="auto"/>
              <w:ind w:left="2" w:right="0" w:firstLine="0"/>
            </w:pPr>
            <w:r>
              <w:rPr>
                <w:b/>
                <w:color w:val="FFFFFF"/>
              </w:rPr>
              <w:t>U</w:t>
            </w:r>
          </w:p>
          <w:p w:rsidR="00130AB6" w:rsidRDefault="002C7D32">
            <w:pPr>
              <w:spacing w:after="0" w:line="259" w:lineRule="auto"/>
              <w:ind w:left="2" w:right="0" w:firstLine="0"/>
              <w:jc w:val="left"/>
            </w:pPr>
            <w:r>
              <w:rPr>
                <w:b/>
                <w:color w:val="FFFFFF"/>
              </w:rPr>
              <w:t xml:space="preserve">T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N</w:t>
            </w:r>
          </w:p>
          <w:p w:rsidR="00130AB6" w:rsidRDefault="002C7D32">
            <w:pPr>
              <w:spacing w:after="19" w:line="259" w:lineRule="auto"/>
              <w:ind w:left="1" w:right="0" w:firstLine="0"/>
            </w:pPr>
            <w:r>
              <w:rPr>
                <w:b/>
                <w:color w:val="FFFFFF"/>
              </w:rPr>
              <w:t>O</w:t>
            </w:r>
          </w:p>
          <w:p w:rsidR="00130AB6" w:rsidRDefault="002C7D32">
            <w:pPr>
              <w:spacing w:after="0" w:line="259" w:lineRule="auto"/>
              <w:ind w:left="1" w:right="0" w:firstLine="0"/>
            </w:pPr>
            <w:r>
              <w:rPr>
                <w:b/>
                <w:color w:val="FFFFFF"/>
              </w:rPr>
              <w:t xml:space="preserve">V </w:t>
            </w:r>
          </w:p>
        </w:tc>
        <w:tc>
          <w:tcPr>
            <w:tcW w:w="343"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D</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jc w:val="left"/>
            </w:pPr>
            <w:r>
              <w:rPr>
                <w:b/>
                <w:color w:val="FFFFFF"/>
              </w:rPr>
              <w:t xml:space="preserve">Z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J</w:t>
            </w:r>
          </w:p>
          <w:p w:rsidR="00130AB6" w:rsidRDefault="002C7D32">
            <w:pPr>
              <w:spacing w:after="19" w:line="259" w:lineRule="auto"/>
              <w:ind w:left="1" w:right="0" w:firstLine="0"/>
            </w:pPr>
            <w:r>
              <w:rPr>
                <w:b/>
                <w:color w:val="FFFFFF"/>
              </w:rPr>
              <w:t>A</w:t>
            </w:r>
          </w:p>
          <w:p w:rsidR="00130AB6" w:rsidRDefault="002C7D32">
            <w:pPr>
              <w:spacing w:after="0" w:line="259" w:lineRule="auto"/>
              <w:ind w:left="1" w:right="0" w:firstLine="0"/>
            </w:pPr>
            <w:r>
              <w:rPr>
                <w:b/>
                <w:color w:val="FFFFFF"/>
              </w:rPr>
              <w:t xml:space="preserve">N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F</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pPr>
            <w:r>
              <w:rPr>
                <w:b/>
                <w:color w:val="FFFFFF"/>
              </w:rPr>
              <w:t xml:space="preserve">V </w:t>
            </w:r>
          </w:p>
        </w:tc>
        <w:tc>
          <w:tcPr>
            <w:tcW w:w="33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M</w:t>
            </w:r>
          </w:p>
          <w:p w:rsidR="00130AB6" w:rsidRDefault="002C7D32">
            <w:pPr>
              <w:spacing w:after="19" w:line="259" w:lineRule="auto"/>
              <w:ind w:left="1" w:right="0" w:firstLine="0"/>
            </w:pPr>
            <w:r>
              <w:rPr>
                <w:b/>
                <w:color w:val="FFFFFF"/>
              </w:rPr>
              <w:t>A</w:t>
            </w:r>
          </w:p>
          <w:p w:rsidR="00130AB6" w:rsidRDefault="002C7D32">
            <w:pPr>
              <w:spacing w:after="0" w:line="259" w:lineRule="auto"/>
              <w:ind w:left="1" w:right="0" w:firstLine="0"/>
            </w:pPr>
            <w:r>
              <w:rPr>
                <w:b/>
                <w:color w:val="FFFFFF"/>
              </w:rPr>
              <w:t xml:space="preserve">R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A</w:t>
            </w:r>
          </w:p>
          <w:p w:rsidR="00130AB6" w:rsidRDefault="002C7D32">
            <w:pPr>
              <w:spacing w:after="19" w:line="259" w:lineRule="auto"/>
              <w:ind w:left="1" w:right="0" w:firstLine="0"/>
            </w:pPr>
            <w:r>
              <w:rPr>
                <w:b/>
                <w:color w:val="FFFFFF"/>
              </w:rPr>
              <w:t>B</w:t>
            </w:r>
          </w:p>
          <w:p w:rsidR="00130AB6" w:rsidRDefault="002C7D32">
            <w:pPr>
              <w:spacing w:after="0" w:line="259" w:lineRule="auto"/>
              <w:ind w:left="1" w:right="0" w:firstLine="0"/>
            </w:pPr>
            <w:r>
              <w:rPr>
                <w:b/>
                <w:color w:val="FFFFFF"/>
              </w:rPr>
              <w:t xml:space="preserve">R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M</w:t>
            </w:r>
          </w:p>
          <w:p w:rsidR="00130AB6" w:rsidRDefault="002C7D32">
            <w:pPr>
              <w:spacing w:after="19" w:line="259" w:lineRule="auto"/>
              <w:ind w:left="1" w:right="0" w:firstLine="0"/>
            </w:pPr>
            <w:r>
              <w:rPr>
                <w:b/>
                <w:color w:val="FFFFFF"/>
              </w:rPr>
              <w:t>A</w:t>
            </w:r>
          </w:p>
          <w:p w:rsidR="00130AB6" w:rsidRDefault="002C7D32">
            <w:pPr>
              <w:spacing w:after="0" w:line="259" w:lineRule="auto"/>
              <w:ind w:left="0" w:right="108" w:firstLine="0"/>
              <w:jc w:val="center"/>
            </w:pPr>
            <w:r>
              <w:rPr>
                <w:b/>
                <w:color w:val="FFFFFF"/>
              </w:rPr>
              <w:t xml:space="preserve">I </w:t>
            </w:r>
          </w:p>
        </w:tc>
        <w:tc>
          <w:tcPr>
            <w:tcW w:w="33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J</w:t>
            </w:r>
          </w:p>
          <w:p w:rsidR="00130AB6" w:rsidRDefault="002C7D32">
            <w:pPr>
              <w:spacing w:after="19" w:line="259" w:lineRule="auto"/>
              <w:ind w:left="1" w:right="0" w:firstLine="0"/>
            </w:pPr>
            <w:r>
              <w:rPr>
                <w:b/>
                <w:color w:val="FFFFFF"/>
              </w:rPr>
              <w:t>U</w:t>
            </w:r>
          </w:p>
          <w:p w:rsidR="00130AB6" w:rsidRDefault="002C7D32">
            <w:pPr>
              <w:spacing w:after="0" w:line="259" w:lineRule="auto"/>
              <w:ind w:left="1" w:right="0" w:firstLine="0"/>
            </w:pPr>
            <w:r>
              <w:rPr>
                <w:b/>
                <w:color w:val="FFFFFF"/>
              </w:rPr>
              <w:t xml:space="preserve">N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J</w:t>
            </w:r>
          </w:p>
          <w:p w:rsidR="00130AB6" w:rsidRDefault="002C7D32">
            <w:pPr>
              <w:spacing w:after="19" w:line="259" w:lineRule="auto"/>
              <w:ind w:left="1" w:right="0" w:firstLine="0"/>
            </w:pPr>
            <w:r>
              <w:rPr>
                <w:b/>
                <w:color w:val="FFFFFF"/>
              </w:rPr>
              <w:t>U</w:t>
            </w:r>
          </w:p>
          <w:p w:rsidR="00130AB6" w:rsidRDefault="002C7D32">
            <w:pPr>
              <w:spacing w:after="0" w:line="259" w:lineRule="auto"/>
              <w:ind w:left="1" w:right="0" w:firstLine="0"/>
              <w:jc w:val="left"/>
            </w:pPr>
            <w:r>
              <w:rPr>
                <w:b/>
                <w:color w:val="FFFFFF"/>
              </w:rPr>
              <w:t xml:space="preserve">L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A</w:t>
            </w:r>
          </w:p>
          <w:p w:rsidR="00130AB6" w:rsidRDefault="002C7D32">
            <w:pPr>
              <w:spacing w:after="19" w:line="259" w:lineRule="auto"/>
              <w:ind w:left="1" w:right="0" w:firstLine="0"/>
            </w:pPr>
            <w:r>
              <w:rPr>
                <w:b/>
                <w:color w:val="FFFFFF"/>
              </w:rPr>
              <w:t>G</w:t>
            </w:r>
          </w:p>
          <w:p w:rsidR="00130AB6" w:rsidRDefault="002C7D32">
            <w:pPr>
              <w:spacing w:after="0" w:line="259" w:lineRule="auto"/>
              <w:ind w:left="1" w:right="0" w:firstLine="0"/>
            </w:pPr>
            <w:r>
              <w:rPr>
                <w:b/>
                <w:color w:val="FFFFFF"/>
              </w:rPr>
              <w:t xml:space="preserve">O </w:t>
            </w:r>
          </w:p>
        </w:tc>
        <w:tc>
          <w:tcPr>
            <w:tcW w:w="33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S</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jc w:val="left"/>
            </w:pPr>
            <w:r>
              <w:rPr>
                <w:b/>
                <w:color w:val="FFFFFF"/>
              </w:rPr>
              <w:t xml:space="preserve">T </w:t>
            </w:r>
          </w:p>
        </w:tc>
        <w:tc>
          <w:tcPr>
            <w:tcW w:w="341"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O</w:t>
            </w:r>
          </w:p>
          <w:p w:rsidR="00130AB6" w:rsidRDefault="002C7D32">
            <w:pPr>
              <w:spacing w:after="19" w:line="259" w:lineRule="auto"/>
              <w:ind w:left="1" w:right="0" w:firstLine="0"/>
            </w:pPr>
            <w:r>
              <w:rPr>
                <w:b/>
                <w:color w:val="FFFFFF"/>
              </w:rPr>
              <w:t>U</w:t>
            </w:r>
          </w:p>
          <w:p w:rsidR="00130AB6" w:rsidRDefault="002C7D32">
            <w:pPr>
              <w:spacing w:after="0" w:line="259" w:lineRule="auto"/>
              <w:ind w:left="1" w:right="0" w:firstLine="0"/>
              <w:jc w:val="left"/>
            </w:pPr>
            <w:r>
              <w:rPr>
                <w:b/>
                <w:color w:val="FFFFFF"/>
              </w:rPr>
              <w:t xml:space="preserve">T </w:t>
            </w:r>
          </w:p>
        </w:tc>
        <w:tc>
          <w:tcPr>
            <w:tcW w:w="343"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N</w:t>
            </w:r>
          </w:p>
          <w:p w:rsidR="00130AB6" w:rsidRDefault="002C7D32">
            <w:pPr>
              <w:spacing w:after="19" w:line="259" w:lineRule="auto"/>
              <w:ind w:left="1" w:right="0" w:firstLine="0"/>
            </w:pPr>
            <w:r>
              <w:rPr>
                <w:b/>
                <w:color w:val="FFFFFF"/>
              </w:rPr>
              <w:t>O</w:t>
            </w:r>
          </w:p>
          <w:p w:rsidR="00130AB6" w:rsidRDefault="002C7D32">
            <w:pPr>
              <w:spacing w:after="0" w:line="259" w:lineRule="auto"/>
              <w:ind w:left="1" w:right="0" w:firstLine="0"/>
            </w:pPr>
            <w:r>
              <w:rPr>
                <w:b/>
                <w:color w:val="FFFFFF"/>
              </w:rPr>
              <w:t xml:space="preserve">V </w:t>
            </w:r>
          </w:p>
        </w:tc>
        <w:tc>
          <w:tcPr>
            <w:tcW w:w="318" w:type="dxa"/>
            <w:tcBorders>
              <w:top w:val="single" w:sz="4" w:space="0" w:color="000000"/>
              <w:left w:val="single" w:sz="4" w:space="0" w:color="000000"/>
              <w:bottom w:val="single" w:sz="4" w:space="0" w:color="000000"/>
              <w:right w:val="single" w:sz="4" w:space="0" w:color="000000"/>
            </w:tcBorders>
            <w:shd w:val="clear" w:color="auto" w:fill="F4B083"/>
          </w:tcPr>
          <w:p w:rsidR="00130AB6" w:rsidRDefault="002C7D32">
            <w:pPr>
              <w:spacing w:after="19" w:line="259" w:lineRule="auto"/>
              <w:ind w:left="1" w:right="0" w:firstLine="0"/>
            </w:pPr>
            <w:r>
              <w:rPr>
                <w:b/>
                <w:color w:val="FFFFFF"/>
              </w:rPr>
              <w:t>D</w:t>
            </w:r>
          </w:p>
          <w:p w:rsidR="00130AB6" w:rsidRDefault="002C7D32">
            <w:pPr>
              <w:spacing w:after="19" w:line="259" w:lineRule="auto"/>
              <w:ind w:left="1" w:right="0" w:firstLine="0"/>
            </w:pPr>
            <w:r>
              <w:rPr>
                <w:b/>
                <w:color w:val="FFFFFF"/>
              </w:rPr>
              <w:t>E</w:t>
            </w:r>
          </w:p>
          <w:p w:rsidR="00130AB6" w:rsidRDefault="002C7D32">
            <w:pPr>
              <w:spacing w:after="0" w:line="259" w:lineRule="auto"/>
              <w:ind w:left="1" w:right="0" w:firstLine="0"/>
              <w:jc w:val="left"/>
            </w:pPr>
            <w:r>
              <w:rPr>
                <w:b/>
                <w:color w:val="FFFFFF"/>
              </w:rPr>
              <w:t xml:space="preserve">Z </w:t>
            </w:r>
          </w:p>
        </w:tc>
      </w:tr>
      <w:tr w:rsidR="00130AB6">
        <w:trPr>
          <w:trHeight w:val="846"/>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jc w:val="center"/>
            </w:pPr>
            <w:r>
              <w:t xml:space="preserve">Revisão de Literatura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pPr>
            <w:r>
              <w:rPr>
                <w:color w:val="FFFFFF"/>
              </w:rPr>
              <w:t xml:space="preserve">X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X</w:t>
            </w:r>
            <w:r>
              <w:rPr>
                <w:color w:val="FFFFFF"/>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X</w:t>
            </w:r>
            <w:r>
              <w:rPr>
                <w:color w:val="FFFFFF"/>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X</w:t>
            </w:r>
            <w:r>
              <w:rPr>
                <w:color w:val="FFFFFF"/>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X</w:t>
            </w:r>
            <w:r>
              <w:rPr>
                <w:color w:val="FFFFFF"/>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X</w:t>
            </w:r>
            <w:r>
              <w:rPr>
                <w:color w:val="FFFFFF"/>
              </w:rP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pPr>
            <w:r>
              <w:t>X</w:t>
            </w:r>
            <w:r>
              <w:rPr>
                <w:color w:val="FFFFFF"/>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rPr>
                <w:color w:val="FFFFFF"/>
              </w:rP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jc w:val="left"/>
            </w:pPr>
            <w:r>
              <w:rPr>
                <w:color w:val="FFFFFF"/>
              </w:rP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845"/>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2" w:firstLine="0"/>
              <w:jc w:val="center"/>
            </w:pPr>
            <w:r>
              <w:t xml:space="preserve">Submissão ao CEP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526"/>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109" w:firstLine="0"/>
              <w:jc w:val="center"/>
            </w:pPr>
            <w:r>
              <w:t xml:space="preserve">Coleta de dados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1164"/>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23" w:firstLine="0"/>
              <w:jc w:val="center"/>
            </w:pPr>
            <w:r>
              <w:t xml:space="preserve">Análise e discussão dos dados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845"/>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jc w:val="center"/>
            </w:pPr>
            <w:r>
              <w:t xml:space="preserve">Revisão final do trabalho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jc w:val="left"/>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1030"/>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107" w:firstLine="0"/>
              <w:jc w:val="center"/>
            </w:pPr>
            <w:r>
              <w:t xml:space="preserve">Relatório parcial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jc w:val="left"/>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1481"/>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21" w:line="259" w:lineRule="auto"/>
              <w:ind w:left="0" w:right="110" w:firstLine="0"/>
              <w:jc w:val="center"/>
            </w:pPr>
            <w:r>
              <w:t xml:space="preserve">Entrega do </w:t>
            </w:r>
          </w:p>
          <w:p w:rsidR="00130AB6" w:rsidRDefault="002C7D32">
            <w:pPr>
              <w:spacing w:after="19" w:line="259" w:lineRule="auto"/>
              <w:ind w:left="0" w:right="108" w:firstLine="0"/>
              <w:jc w:val="center"/>
            </w:pPr>
            <w:r>
              <w:t xml:space="preserve">Trabalho de </w:t>
            </w:r>
          </w:p>
          <w:p w:rsidR="00130AB6" w:rsidRDefault="002C7D32">
            <w:pPr>
              <w:spacing w:after="19" w:line="259" w:lineRule="auto"/>
              <w:ind w:left="0" w:right="108" w:firstLine="0"/>
              <w:jc w:val="center"/>
            </w:pPr>
            <w:r>
              <w:t xml:space="preserve">Conclusão de </w:t>
            </w:r>
          </w:p>
          <w:p w:rsidR="00130AB6" w:rsidRDefault="002C7D32">
            <w:pPr>
              <w:spacing w:after="0" w:line="259" w:lineRule="auto"/>
              <w:ind w:left="0" w:right="107" w:firstLine="0"/>
              <w:jc w:val="center"/>
            </w:pPr>
            <w:r>
              <w:t xml:space="preserve">Curso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r>
      <w:tr w:rsidR="00130AB6">
        <w:trPr>
          <w:trHeight w:val="773"/>
        </w:trPr>
        <w:tc>
          <w:tcPr>
            <w:tcW w:w="223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104" w:firstLine="0"/>
              <w:jc w:val="center"/>
            </w:pPr>
            <w:r>
              <w:lastRenderedPageBreak/>
              <w:t xml:space="preserve">Relatório final </w:t>
            </w:r>
          </w:p>
        </w:tc>
        <w:tc>
          <w:tcPr>
            <w:tcW w:w="340"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6"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9"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7"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3"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1"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3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38" w:firstLine="0"/>
              <w:jc w:val="center"/>
            </w:pPr>
            <w:r>
              <w:t xml:space="preserve"> </w:t>
            </w:r>
          </w:p>
        </w:tc>
        <w:tc>
          <w:tcPr>
            <w:tcW w:w="341"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40" w:firstLine="0"/>
              <w:jc w:val="center"/>
            </w:pPr>
            <w:r>
              <w:t xml:space="preserve"> </w:t>
            </w:r>
          </w:p>
        </w:tc>
        <w:tc>
          <w:tcPr>
            <w:tcW w:w="343"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pPr>
            <w:r>
              <w:t xml:space="preserve">X </w:t>
            </w:r>
          </w:p>
        </w:tc>
        <w:tc>
          <w:tcPr>
            <w:tcW w:w="318"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 w:right="0" w:firstLine="0"/>
              <w:jc w:val="left"/>
            </w:pPr>
            <w:r>
              <w:t xml:space="preserve"> </w:t>
            </w:r>
          </w:p>
        </w:tc>
      </w:tr>
    </w:tbl>
    <w:p w:rsidR="00130AB6" w:rsidRDefault="002C7D32">
      <w:pPr>
        <w:spacing w:after="317"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4" w:line="259" w:lineRule="auto"/>
        <w:ind w:left="0" w:right="0" w:firstLine="0"/>
        <w:jc w:val="left"/>
      </w:pPr>
      <w:r>
        <w:rPr>
          <w:b/>
        </w:rPr>
        <w:t xml:space="preserve"> </w:t>
      </w:r>
    </w:p>
    <w:p w:rsidR="00130AB6" w:rsidRDefault="002C7D32">
      <w:pPr>
        <w:spacing w:after="0" w:line="259" w:lineRule="auto"/>
        <w:ind w:left="0" w:right="0" w:firstLine="0"/>
        <w:jc w:val="left"/>
      </w:pPr>
      <w:r>
        <w:rPr>
          <w:b/>
        </w:rPr>
        <w:t xml:space="preserve"> </w:t>
      </w:r>
    </w:p>
    <w:p w:rsidR="00130AB6" w:rsidRDefault="002C7D32">
      <w:pPr>
        <w:pStyle w:val="Ttulo1"/>
        <w:spacing w:after="2"/>
        <w:ind w:left="720" w:right="0" w:hanging="360"/>
      </w:pPr>
      <w:bookmarkStart w:id="25" w:name="_Toc59557"/>
      <w:r>
        <w:t xml:space="preserve">ORÇAMENTO </w:t>
      </w:r>
      <w:bookmarkEnd w:id="25"/>
    </w:p>
    <w:p w:rsidR="00130AB6" w:rsidRDefault="002C7D32">
      <w:pPr>
        <w:spacing w:after="235" w:line="259" w:lineRule="auto"/>
        <w:ind w:left="0" w:right="0" w:firstLine="0"/>
        <w:jc w:val="left"/>
      </w:pPr>
      <w:r>
        <w:rPr>
          <w:rFonts w:ascii="Calibri" w:eastAsia="Calibri" w:hAnsi="Calibri" w:cs="Calibri"/>
          <w:sz w:val="22"/>
        </w:rPr>
        <w:t xml:space="preserve"> </w:t>
      </w:r>
    </w:p>
    <w:p w:rsidR="00130AB6" w:rsidRDefault="002C7D32">
      <w:pPr>
        <w:spacing w:line="276" w:lineRule="auto"/>
        <w:ind w:left="-5" w:right="167"/>
      </w:pPr>
      <w:r>
        <w:t xml:space="preserve">O projeto será financiado com recursos próprios. Os pesquisadores não receberão remuneração pela execução do projeto. </w:t>
      </w:r>
    </w:p>
    <w:p w:rsidR="00130AB6" w:rsidRDefault="002C7D32">
      <w:pPr>
        <w:spacing w:after="0" w:line="259" w:lineRule="auto"/>
        <w:ind w:left="-5" w:right="167"/>
      </w:pPr>
      <w:r>
        <w:t xml:space="preserve">Orçamento para pesquisa:  </w:t>
      </w:r>
    </w:p>
    <w:tbl>
      <w:tblPr>
        <w:tblStyle w:val="TableGrid"/>
        <w:tblW w:w="8495" w:type="dxa"/>
        <w:tblInd w:w="5" w:type="dxa"/>
        <w:tblCellMar>
          <w:top w:w="13" w:type="dxa"/>
          <w:left w:w="106" w:type="dxa"/>
          <w:bottom w:w="0" w:type="dxa"/>
          <w:right w:w="115" w:type="dxa"/>
        </w:tblCellMar>
        <w:tblLook w:val="04A0" w:firstRow="1" w:lastRow="0" w:firstColumn="1" w:lastColumn="0" w:noHBand="0" w:noVBand="1"/>
      </w:tblPr>
      <w:tblGrid>
        <w:gridCol w:w="2124"/>
        <w:gridCol w:w="2122"/>
        <w:gridCol w:w="2124"/>
        <w:gridCol w:w="2125"/>
      </w:tblGrid>
      <w:tr w:rsidR="00130AB6">
        <w:trPr>
          <w:trHeight w:val="288"/>
        </w:trPr>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6" w:right="0" w:firstLine="0"/>
              <w:jc w:val="center"/>
            </w:pPr>
            <w:r>
              <w:t xml:space="preserve">Material </w:t>
            </w:r>
          </w:p>
        </w:tc>
        <w:tc>
          <w:tcPr>
            <w:tcW w:w="212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8" w:right="0" w:firstLine="0"/>
              <w:jc w:val="center"/>
            </w:pPr>
            <w:r>
              <w:t xml:space="preserve">Quantidade </w:t>
            </w:r>
          </w:p>
        </w:tc>
        <w:tc>
          <w:tcPr>
            <w:tcW w:w="2124"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11" w:right="0" w:firstLine="0"/>
              <w:jc w:val="center"/>
            </w:pPr>
            <w:r>
              <w:t xml:space="preserve">Preço </w:t>
            </w:r>
          </w:p>
        </w:tc>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right="0" w:firstLine="0"/>
              <w:jc w:val="center"/>
            </w:pPr>
            <w:r>
              <w:t xml:space="preserve">Comentários </w:t>
            </w:r>
          </w:p>
        </w:tc>
      </w:tr>
      <w:tr w:rsidR="00130AB6">
        <w:trPr>
          <w:trHeight w:val="286"/>
        </w:trPr>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Celular  </w:t>
            </w:r>
          </w:p>
        </w:tc>
        <w:tc>
          <w:tcPr>
            <w:tcW w:w="212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R$ 4.300,00 </w:t>
            </w:r>
          </w:p>
        </w:tc>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Recurso próprio </w:t>
            </w:r>
          </w:p>
        </w:tc>
      </w:tr>
      <w:tr w:rsidR="00130AB6">
        <w:trPr>
          <w:trHeight w:val="286"/>
        </w:trPr>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Notebook </w:t>
            </w:r>
          </w:p>
        </w:tc>
        <w:tc>
          <w:tcPr>
            <w:tcW w:w="212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 </w:t>
            </w:r>
            <w:r>
              <w:t xml:space="preserve">4.500,00  </w:t>
            </w:r>
          </w:p>
        </w:tc>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Recurso próprio </w:t>
            </w:r>
          </w:p>
        </w:tc>
      </w:tr>
      <w:tr w:rsidR="00130AB6">
        <w:trPr>
          <w:trHeight w:val="286"/>
        </w:trPr>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Internet móvel </w:t>
            </w:r>
          </w:p>
        </w:tc>
        <w:tc>
          <w:tcPr>
            <w:tcW w:w="2122"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0" w:right="0" w:firstLine="0"/>
              <w:jc w:val="left"/>
            </w:pPr>
            <w:r>
              <w:t xml:space="preserve">1 </w:t>
            </w:r>
          </w:p>
        </w:tc>
        <w:tc>
          <w:tcPr>
            <w:tcW w:w="2124"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R$ 60,00 </w:t>
            </w:r>
          </w:p>
        </w:tc>
        <w:tc>
          <w:tcPr>
            <w:tcW w:w="2125" w:type="dxa"/>
            <w:tcBorders>
              <w:top w:val="single" w:sz="4" w:space="0" w:color="000000"/>
              <w:left w:val="single" w:sz="4" w:space="0" w:color="000000"/>
              <w:bottom w:val="single" w:sz="4" w:space="0" w:color="000000"/>
              <w:right w:val="single" w:sz="4" w:space="0" w:color="000000"/>
            </w:tcBorders>
          </w:tcPr>
          <w:p w:rsidR="00130AB6" w:rsidRDefault="002C7D32">
            <w:pPr>
              <w:spacing w:after="0" w:line="259" w:lineRule="auto"/>
              <w:ind w:left="2" w:right="0" w:firstLine="0"/>
              <w:jc w:val="left"/>
            </w:pPr>
            <w:r>
              <w:t xml:space="preserve">Recurso próprio </w:t>
            </w:r>
          </w:p>
        </w:tc>
      </w:tr>
    </w:tbl>
    <w:p w:rsidR="00130AB6" w:rsidRDefault="002C7D32">
      <w:pPr>
        <w:spacing w:after="96" w:line="451" w:lineRule="auto"/>
        <w:ind w:left="0" w:right="9182" w:firstLine="0"/>
        <w:jc w:val="left"/>
      </w:pPr>
      <w:r>
        <w:t xml:space="preserve"> </w:t>
      </w:r>
      <w:r>
        <w:rPr>
          <w:b/>
        </w:rPr>
        <w:t xml:space="preserve"> </w:t>
      </w:r>
    </w:p>
    <w:p w:rsidR="00130AB6" w:rsidRDefault="002C7D32">
      <w:pPr>
        <w:spacing w:after="314"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7"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4"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17" w:line="259" w:lineRule="auto"/>
        <w:ind w:left="0" w:right="0" w:firstLine="0"/>
        <w:jc w:val="left"/>
      </w:pPr>
      <w:r>
        <w:rPr>
          <w:b/>
        </w:rPr>
        <w:t xml:space="preserve"> </w:t>
      </w:r>
    </w:p>
    <w:p w:rsidR="00130AB6" w:rsidRDefault="002C7D32">
      <w:pPr>
        <w:spacing w:after="316" w:line="259" w:lineRule="auto"/>
        <w:ind w:left="0" w:right="0" w:firstLine="0"/>
        <w:jc w:val="left"/>
      </w:pPr>
      <w:r>
        <w:rPr>
          <w:b/>
        </w:rPr>
        <w:lastRenderedPageBreak/>
        <w:t xml:space="preserve"> </w:t>
      </w:r>
    </w:p>
    <w:p w:rsidR="00130AB6" w:rsidRDefault="002C7D32">
      <w:pPr>
        <w:spacing w:after="314" w:line="259" w:lineRule="auto"/>
        <w:ind w:left="0" w:right="0" w:firstLine="0"/>
        <w:jc w:val="left"/>
      </w:pPr>
      <w:r>
        <w:rPr>
          <w:b/>
        </w:rPr>
        <w:t xml:space="preserve"> </w:t>
      </w:r>
    </w:p>
    <w:p w:rsidR="00130AB6" w:rsidRDefault="002C7D32">
      <w:pPr>
        <w:spacing w:after="316" w:line="259" w:lineRule="auto"/>
        <w:ind w:left="0" w:right="0" w:firstLine="0"/>
        <w:jc w:val="left"/>
      </w:pPr>
      <w:r>
        <w:rPr>
          <w:b/>
        </w:rPr>
        <w:t xml:space="preserve"> </w:t>
      </w:r>
    </w:p>
    <w:p w:rsidR="00130AB6" w:rsidRDefault="002C7D32">
      <w:pPr>
        <w:spacing w:after="395" w:line="259" w:lineRule="auto"/>
        <w:ind w:left="0" w:right="0" w:firstLine="0"/>
        <w:jc w:val="left"/>
      </w:pPr>
      <w:r>
        <w:rPr>
          <w:b/>
        </w:rPr>
        <w:t xml:space="preserve"> </w:t>
      </w:r>
    </w:p>
    <w:p w:rsidR="00130AB6" w:rsidRDefault="002C7D32">
      <w:pPr>
        <w:spacing w:after="0" w:line="259" w:lineRule="auto"/>
        <w:ind w:left="0" w:right="0" w:firstLine="0"/>
        <w:jc w:val="left"/>
      </w:pPr>
      <w:r>
        <w:rPr>
          <w:b/>
        </w:rPr>
        <w:t xml:space="preserve"> </w:t>
      </w:r>
    </w:p>
    <w:p w:rsidR="00130AB6" w:rsidRDefault="002C7D32">
      <w:pPr>
        <w:pStyle w:val="Ttulo1"/>
        <w:numPr>
          <w:ilvl w:val="0"/>
          <w:numId w:val="0"/>
        </w:numPr>
        <w:spacing w:after="0"/>
        <w:ind w:right="179"/>
        <w:jc w:val="center"/>
      </w:pPr>
      <w:bookmarkStart w:id="26" w:name="_Toc59558"/>
      <w:r>
        <w:t xml:space="preserve">REFERÊNCIAS </w:t>
      </w:r>
      <w:bookmarkEnd w:id="26"/>
    </w:p>
    <w:p w:rsidR="00130AB6" w:rsidRDefault="002C7D32">
      <w:pPr>
        <w:spacing w:after="235" w:line="259" w:lineRule="auto"/>
        <w:ind w:left="0" w:right="0" w:firstLine="0"/>
        <w:jc w:val="left"/>
      </w:pPr>
      <w:r>
        <w:rPr>
          <w:rFonts w:ascii="Calibri" w:eastAsia="Calibri" w:hAnsi="Calibri" w:cs="Calibri"/>
          <w:sz w:val="22"/>
        </w:rPr>
        <w:t xml:space="preserve"> </w:t>
      </w:r>
    </w:p>
    <w:p w:rsidR="00130AB6" w:rsidRDefault="002C7D32">
      <w:pPr>
        <w:numPr>
          <w:ilvl w:val="0"/>
          <w:numId w:val="2"/>
        </w:numPr>
        <w:spacing w:after="200" w:line="240" w:lineRule="auto"/>
        <w:ind w:right="167" w:hanging="269"/>
      </w:pPr>
      <w:r>
        <w:t xml:space="preserve">Ministério da Saúde (BR). Secretaria de Atenção à Saúde. Portaria MS/SAS </w:t>
      </w:r>
      <w:r>
        <w:t xml:space="preserve">nº 1149, de 11 de novembro de 2015: Aprova o protocolo clínico e diretrizes terapêuticas da doença celíaca [Internet]. Brasília: Diário Oficial da União; 2015. </w:t>
      </w:r>
      <w:r>
        <w:rPr>
          <w:color w:val="212121"/>
        </w:rPr>
        <w:t xml:space="preserve">Acesso em: [7 set. 2022]. </w:t>
      </w:r>
      <w:r>
        <w:t xml:space="preserve">Disponível em: </w:t>
      </w:r>
      <w:hyperlink r:id="rId13">
        <w:r>
          <w:rPr>
            <w:color w:val="0563C1"/>
            <w:u w:val="single" w:color="0563C1"/>
          </w:rPr>
          <w:t>https://www.gov.br/saude/pt</w:t>
        </w:r>
      </w:hyperlink>
      <w:hyperlink r:id="rId14"/>
      <w:hyperlink r:id="rId15">
        <w:r>
          <w:rPr>
            <w:color w:val="0563C1"/>
            <w:u w:val="single" w:color="0563C1"/>
          </w:rPr>
          <w:t>br/assuntos/protocolos</w:t>
        </w:r>
      </w:hyperlink>
      <w:hyperlink r:id="rId16">
        <w:r>
          <w:rPr>
            <w:color w:val="0563C1"/>
            <w:u w:val="single" w:color="0563C1"/>
          </w:rPr>
          <w:t>-</w:t>
        </w:r>
      </w:hyperlink>
      <w:hyperlink r:id="rId17">
        <w:r>
          <w:rPr>
            <w:color w:val="0563C1"/>
            <w:u w:val="single" w:color="0563C1"/>
          </w:rPr>
          <w:t>clinicos</w:t>
        </w:r>
      </w:hyperlink>
      <w:hyperlink r:id="rId18">
        <w:r>
          <w:rPr>
            <w:color w:val="0563C1"/>
            <w:u w:val="single" w:color="0563C1"/>
          </w:rPr>
          <w:t>-</w:t>
        </w:r>
      </w:hyperlink>
      <w:hyperlink r:id="rId19">
        <w:r>
          <w:rPr>
            <w:color w:val="0563C1"/>
            <w:u w:val="single" w:color="0563C1"/>
          </w:rPr>
          <w:t>e</w:t>
        </w:r>
      </w:hyperlink>
      <w:hyperlink r:id="rId20">
        <w:r>
          <w:rPr>
            <w:color w:val="0563C1"/>
            <w:u w:val="single" w:color="0563C1"/>
          </w:rPr>
          <w:t>-</w:t>
        </w:r>
      </w:hyperlink>
      <w:hyperlink r:id="rId21">
        <w:r>
          <w:rPr>
            <w:color w:val="0563C1"/>
            <w:u w:val="single" w:color="0563C1"/>
          </w:rPr>
          <w:t>diretrizes</w:t>
        </w:r>
      </w:hyperlink>
      <w:hyperlink r:id="rId22">
        <w:r>
          <w:rPr>
            <w:color w:val="0563C1"/>
            <w:u w:val="single" w:color="0563C1"/>
          </w:rPr>
          <w:t>-</w:t>
        </w:r>
      </w:hyperlink>
      <w:hyperlink r:id="rId23">
        <w:r>
          <w:rPr>
            <w:color w:val="0563C1"/>
            <w:u w:val="single" w:color="0563C1"/>
          </w:rPr>
          <w:t>terapeuticas</w:t>
        </w:r>
      </w:hyperlink>
      <w:hyperlink r:id="rId24">
        <w:r>
          <w:rPr>
            <w:color w:val="0563C1"/>
            <w:u w:val="single" w:color="0563C1"/>
          </w:rPr>
          <w:t>-</w:t>
        </w:r>
      </w:hyperlink>
      <w:hyperlink r:id="rId25">
        <w:r>
          <w:rPr>
            <w:color w:val="0563C1"/>
            <w:u w:val="single" w:color="0563C1"/>
          </w:rPr>
          <w:t>pcdt/arquivos/2015/doenca</w:t>
        </w:r>
      </w:hyperlink>
      <w:hyperlink r:id="rId26"/>
      <w:hyperlink r:id="rId27">
        <w:r>
          <w:rPr>
            <w:color w:val="0563C1"/>
            <w:u w:val="single" w:color="0563C1"/>
          </w:rPr>
          <w:t>celiaca</w:t>
        </w:r>
      </w:hyperlink>
      <w:hyperlink r:id="rId28">
        <w:r>
          <w:rPr>
            <w:color w:val="0563C1"/>
            <w:u w:val="single" w:color="0563C1"/>
          </w:rPr>
          <w:t>-</w:t>
        </w:r>
      </w:hyperlink>
      <w:hyperlink r:id="rId29">
        <w:r>
          <w:rPr>
            <w:color w:val="0563C1"/>
            <w:u w:val="single" w:color="0563C1"/>
          </w:rPr>
          <w:t>pcdt.pdf</w:t>
        </w:r>
      </w:hyperlink>
      <w:hyperlink r:id="rId30">
        <w:r>
          <w:t xml:space="preserve"> </w:t>
        </w:r>
      </w:hyperlink>
    </w:p>
    <w:p w:rsidR="00130AB6" w:rsidRDefault="002C7D32">
      <w:pPr>
        <w:spacing w:after="180" w:line="259" w:lineRule="auto"/>
        <w:ind w:left="0" w:right="0" w:firstLine="0"/>
        <w:jc w:val="left"/>
      </w:pPr>
      <w:r>
        <w:t xml:space="preserve"> </w:t>
      </w:r>
    </w:p>
    <w:p w:rsidR="00130AB6" w:rsidRDefault="002C7D32">
      <w:pPr>
        <w:numPr>
          <w:ilvl w:val="0"/>
          <w:numId w:val="2"/>
        </w:numPr>
        <w:spacing w:after="200" w:line="240" w:lineRule="auto"/>
        <w:ind w:right="167" w:hanging="269"/>
      </w:pPr>
      <w:r>
        <w:t xml:space="preserve">ACELBRA - </w:t>
      </w:r>
      <w:r>
        <w:t xml:space="preserve">Associação de Celíacos do Brasil – Histórico da Doença Celíaca [Internet]. São Paulo; 2006. </w:t>
      </w:r>
      <w:r>
        <w:rPr>
          <w:color w:val="212121"/>
        </w:rPr>
        <w:t xml:space="preserve">Acesso em: [7 set. 2022]. </w:t>
      </w:r>
      <w:r>
        <w:t xml:space="preserve">Disponível em: </w:t>
      </w:r>
      <w:hyperlink r:id="rId31">
        <w:r>
          <w:rPr>
            <w:color w:val="0563C1"/>
            <w:u w:val="single" w:color="0563C1"/>
          </w:rPr>
          <w:t>http://www.acelbra.org.br/2004/</w:t>
        </w:r>
      </w:hyperlink>
      <w:hyperlink r:id="rId32">
        <w:r>
          <w:t xml:space="preserve"> </w:t>
        </w:r>
      </w:hyperlink>
    </w:p>
    <w:p w:rsidR="00130AB6" w:rsidRDefault="002C7D32">
      <w:pPr>
        <w:spacing w:line="259" w:lineRule="auto"/>
        <w:ind w:left="0" w:right="0" w:firstLine="0"/>
        <w:jc w:val="left"/>
      </w:pPr>
      <w:r>
        <w:t xml:space="preserve"> </w:t>
      </w:r>
    </w:p>
    <w:p w:rsidR="00130AB6" w:rsidRDefault="002C7D32">
      <w:pPr>
        <w:numPr>
          <w:ilvl w:val="0"/>
          <w:numId w:val="2"/>
        </w:numPr>
        <w:spacing w:line="240" w:lineRule="auto"/>
        <w:ind w:right="167" w:hanging="269"/>
      </w:pPr>
      <w:proofErr w:type="spellStart"/>
      <w:r>
        <w:t>Breyer</w:t>
      </w:r>
      <w:proofErr w:type="spellEnd"/>
      <w:r>
        <w:t xml:space="preserve"> HP, </w:t>
      </w:r>
      <w:proofErr w:type="spellStart"/>
      <w:r>
        <w:t>Maguilnik</w:t>
      </w:r>
      <w:proofErr w:type="spellEnd"/>
      <w:r>
        <w:t xml:space="preserve"> I. Doença celíaca – “Procura e encontrarás”. Revista da AMRIGS, 2008; 52 (2): 138-143 </w:t>
      </w:r>
    </w:p>
    <w:p w:rsidR="00130AB6" w:rsidRDefault="002C7D32">
      <w:pPr>
        <w:spacing w:after="177" w:line="259" w:lineRule="auto"/>
        <w:ind w:left="0" w:right="0" w:firstLine="0"/>
        <w:jc w:val="left"/>
      </w:pPr>
      <w:r>
        <w:t xml:space="preserve"> </w:t>
      </w:r>
    </w:p>
    <w:p w:rsidR="00130AB6" w:rsidRDefault="002C7D32">
      <w:pPr>
        <w:numPr>
          <w:ilvl w:val="0"/>
          <w:numId w:val="2"/>
        </w:numPr>
        <w:spacing w:after="0" w:line="259" w:lineRule="auto"/>
        <w:ind w:right="167" w:hanging="269"/>
      </w:pPr>
      <w:r w:rsidRPr="00E06D62">
        <w:rPr>
          <w:lang w:val="en-US"/>
        </w:rPr>
        <w:t xml:space="preserve">Rostom A, Murray JA, </w:t>
      </w:r>
      <w:proofErr w:type="spellStart"/>
      <w:r w:rsidRPr="00E06D62">
        <w:rPr>
          <w:lang w:val="en-US"/>
        </w:rPr>
        <w:t>Kagnoff</w:t>
      </w:r>
      <w:proofErr w:type="spellEnd"/>
      <w:r w:rsidRPr="00E06D62">
        <w:rPr>
          <w:lang w:val="en-US"/>
        </w:rPr>
        <w:t xml:space="preserve"> MF. </w:t>
      </w:r>
      <w:r>
        <w:t xml:space="preserve">American </w:t>
      </w:r>
      <w:proofErr w:type="spellStart"/>
      <w:r>
        <w:t>Gastroenterological</w:t>
      </w:r>
      <w:proofErr w:type="spellEnd"/>
      <w:r>
        <w:t xml:space="preserve"> </w:t>
      </w:r>
      <w:proofErr w:type="spellStart"/>
      <w:r>
        <w:t>Association</w:t>
      </w:r>
      <w:proofErr w:type="spellEnd"/>
      <w:r>
        <w:t xml:space="preserve"> </w:t>
      </w:r>
    </w:p>
    <w:p w:rsidR="00130AB6" w:rsidRPr="00E06D62" w:rsidRDefault="002C7D32">
      <w:pPr>
        <w:spacing w:after="0" w:line="259" w:lineRule="auto"/>
        <w:ind w:left="-5" w:right="167"/>
        <w:rPr>
          <w:lang w:val="en-US"/>
        </w:rPr>
      </w:pPr>
      <w:r w:rsidRPr="00E06D62">
        <w:rPr>
          <w:lang w:val="en-US"/>
        </w:rPr>
        <w:t>(AGA) Institute Technical Review on the Diagnosis and Man</w:t>
      </w:r>
      <w:r w:rsidRPr="00E06D62">
        <w:rPr>
          <w:lang w:val="en-US"/>
        </w:rPr>
        <w:t xml:space="preserve">agement of Celiac </w:t>
      </w:r>
    </w:p>
    <w:p w:rsidR="00130AB6" w:rsidRDefault="002C7D32">
      <w:pPr>
        <w:spacing w:line="240" w:lineRule="auto"/>
        <w:ind w:left="-5" w:right="167"/>
      </w:pPr>
      <w:proofErr w:type="spellStart"/>
      <w:r>
        <w:t>Disease</w:t>
      </w:r>
      <w:proofErr w:type="spellEnd"/>
      <w:r>
        <w:t xml:space="preserve">. </w:t>
      </w:r>
      <w:proofErr w:type="spellStart"/>
      <w:r>
        <w:t>Gastroenterology</w:t>
      </w:r>
      <w:proofErr w:type="spellEnd"/>
      <w:r>
        <w:t xml:space="preserve"> [Internet]. 2006. </w:t>
      </w:r>
      <w:r>
        <w:rPr>
          <w:color w:val="212121"/>
        </w:rPr>
        <w:t>Acesso em: [11 set. 2022]</w:t>
      </w:r>
      <w:r>
        <w:t xml:space="preserve">;131(6):19812002. Disponível em: </w:t>
      </w:r>
      <w:hyperlink r:id="rId33">
        <w:r>
          <w:rPr>
            <w:color w:val="0563C1"/>
            <w:u w:val="single" w:color="0563C1"/>
          </w:rPr>
          <w:t>https://doi.org/10.1053/j.gastro.2006.10.004</w:t>
        </w:r>
      </w:hyperlink>
      <w:hyperlink r:id="rId34">
        <w:r>
          <w:rPr>
            <w:color w:val="0563C1"/>
          </w:rPr>
          <w:t xml:space="preserve"> </w:t>
        </w:r>
      </w:hyperlink>
    </w:p>
    <w:p w:rsidR="00130AB6" w:rsidRDefault="002C7D32">
      <w:pPr>
        <w:spacing w:after="177" w:line="259" w:lineRule="auto"/>
        <w:ind w:left="0" w:right="0" w:firstLine="0"/>
        <w:jc w:val="left"/>
      </w:pPr>
      <w:r>
        <w:t xml:space="preserve"> </w:t>
      </w:r>
    </w:p>
    <w:p w:rsidR="00130AB6" w:rsidRDefault="002C7D32">
      <w:pPr>
        <w:numPr>
          <w:ilvl w:val="0"/>
          <w:numId w:val="2"/>
        </w:numPr>
        <w:spacing w:after="1" w:line="240" w:lineRule="auto"/>
        <w:ind w:right="167" w:hanging="269"/>
      </w:pPr>
      <w:r w:rsidRPr="00E06D62">
        <w:rPr>
          <w:lang w:val="en-US"/>
        </w:rPr>
        <w:t xml:space="preserve">Muniz JG, </w:t>
      </w:r>
      <w:proofErr w:type="spellStart"/>
      <w:r w:rsidRPr="00E06D62">
        <w:rPr>
          <w:lang w:val="en-US"/>
        </w:rPr>
        <w:t>Sdepanian</w:t>
      </w:r>
      <w:proofErr w:type="spellEnd"/>
      <w:r w:rsidRPr="00E06D62">
        <w:rPr>
          <w:lang w:val="en-US"/>
        </w:rPr>
        <w:t xml:space="preserve"> VL, </w:t>
      </w:r>
      <w:proofErr w:type="spellStart"/>
      <w:r w:rsidRPr="00E06D62">
        <w:rPr>
          <w:lang w:val="en-US"/>
        </w:rPr>
        <w:t>Fagundes</w:t>
      </w:r>
      <w:proofErr w:type="spellEnd"/>
      <w:r w:rsidRPr="00E06D62">
        <w:rPr>
          <w:lang w:val="en-US"/>
        </w:rPr>
        <w:t xml:space="preserve"> </w:t>
      </w:r>
      <w:proofErr w:type="spellStart"/>
      <w:r w:rsidRPr="00E06D62">
        <w:rPr>
          <w:lang w:val="en-US"/>
        </w:rPr>
        <w:t>Neto</w:t>
      </w:r>
      <w:proofErr w:type="spellEnd"/>
      <w:r w:rsidRPr="00E06D62">
        <w:rPr>
          <w:lang w:val="en-US"/>
        </w:rPr>
        <w:t xml:space="preserve"> U. Prevalence of genetic susceptibility for celiac disease in blood donors in São Paulo, Brazil. </w:t>
      </w:r>
      <w:proofErr w:type="spellStart"/>
      <w:r>
        <w:t>Arq</w:t>
      </w:r>
      <w:proofErr w:type="spellEnd"/>
      <w:r>
        <w:t xml:space="preserve"> </w:t>
      </w:r>
      <w:proofErr w:type="spellStart"/>
      <w:r>
        <w:t>Gastroenterol</w:t>
      </w:r>
      <w:proofErr w:type="spellEnd"/>
      <w:r>
        <w:t xml:space="preserve"> [Internet]. </w:t>
      </w:r>
    </w:p>
    <w:p w:rsidR="00130AB6" w:rsidRDefault="002C7D32">
      <w:pPr>
        <w:spacing w:after="189" w:line="250" w:lineRule="auto"/>
        <w:ind w:left="-5" w:right="0"/>
        <w:jc w:val="left"/>
      </w:pPr>
      <w:r>
        <w:t>2016.</w:t>
      </w:r>
      <w:r>
        <w:rPr>
          <w:color w:val="212121"/>
        </w:rPr>
        <w:t xml:space="preserve"> Acesso em: [10 set. 2022]</w:t>
      </w:r>
      <w:r>
        <w:t xml:space="preserve">; 53(4): 267–72. </w:t>
      </w:r>
      <w:r>
        <w:t xml:space="preserve">Disponível em: </w:t>
      </w:r>
      <w:hyperlink r:id="rId35">
        <w:r>
          <w:rPr>
            <w:color w:val="0563C1"/>
            <w:u w:val="single" w:color="0563C1"/>
          </w:rPr>
          <w:t>https://doi.org/10.1590/S0004</w:t>
        </w:r>
      </w:hyperlink>
      <w:hyperlink r:id="rId36">
        <w:r>
          <w:rPr>
            <w:color w:val="0563C1"/>
            <w:u w:val="single" w:color="0563C1"/>
          </w:rPr>
          <w:t>-</w:t>
        </w:r>
      </w:hyperlink>
      <w:hyperlink r:id="rId37">
        <w:r>
          <w:rPr>
            <w:color w:val="0563C1"/>
            <w:u w:val="single" w:color="0563C1"/>
          </w:rPr>
          <w:t>2803201600</w:t>
        </w:r>
        <w:r>
          <w:rPr>
            <w:color w:val="0563C1"/>
            <w:u w:val="single" w:color="0563C1"/>
          </w:rPr>
          <w:t>0400011</w:t>
        </w:r>
      </w:hyperlink>
      <w:hyperlink r:id="rId38">
        <w:r>
          <w:t xml:space="preserve"> </w:t>
        </w:r>
      </w:hyperlink>
    </w:p>
    <w:p w:rsidR="00130AB6" w:rsidRDefault="002C7D32">
      <w:pPr>
        <w:spacing w:after="177" w:line="259" w:lineRule="auto"/>
        <w:ind w:left="0" w:right="0" w:firstLine="0"/>
        <w:jc w:val="left"/>
      </w:pPr>
      <w:r>
        <w:t xml:space="preserve"> </w:t>
      </w:r>
    </w:p>
    <w:p w:rsidR="00130AB6" w:rsidRDefault="002C7D32">
      <w:pPr>
        <w:numPr>
          <w:ilvl w:val="0"/>
          <w:numId w:val="3"/>
        </w:numPr>
        <w:spacing w:after="200" w:line="240" w:lineRule="auto"/>
        <w:ind w:right="167" w:hanging="403"/>
        <w:jc w:val="left"/>
      </w:pPr>
      <w:proofErr w:type="spellStart"/>
      <w:r w:rsidRPr="00E06D62">
        <w:rPr>
          <w:lang w:val="en-US"/>
        </w:rPr>
        <w:t>Catassi</w:t>
      </w:r>
      <w:proofErr w:type="spellEnd"/>
      <w:r w:rsidRPr="00E06D62">
        <w:rPr>
          <w:lang w:val="en-US"/>
        </w:rPr>
        <w:t xml:space="preserve"> C, Fasano A. Celiac disease diagnosis: simple rules are better than complicated algorithms. </w:t>
      </w:r>
      <w:proofErr w:type="spellStart"/>
      <w:r>
        <w:t>Am</w:t>
      </w:r>
      <w:proofErr w:type="spellEnd"/>
      <w:r>
        <w:t xml:space="preserve"> J </w:t>
      </w:r>
      <w:proofErr w:type="spellStart"/>
      <w:r>
        <w:t>Med</w:t>
      </w:r>
      <w:proofErr w:type="spellEnd"/>
      <w:r>
        <w:t xml:space="preserve"> [Internet]. 2010. </w:t>
      </w:r>
      <w:r>
        <w:rPr>
          <w:color w:val="212121"/>
        </w:rPr>
        <w:t>Acesso em: [10 set. 2022]</w:t>
      </w:r>
      <w:r>
        <w:t>; 123(8): 691-3. Disponíve</w:t>
      </w:r>
      <w:r>
        <w:t xml:space="preserve">l em: </w:t>
      </w:r>
      <w:hyperlink r:id="rId39">
        <w:r>
          <w:rPr>
            <w:color w:val="0563C1"/>
            <w:u w:val="single" w:color="0563C1"/>
          </w:rPr>
          <w:t>https://doi.org/10.1016/j.amjmed.2010.02.019</w:t>
        </w:r>
      </w:hyperlink>
      <w:hyperlink r:id="rId40">
        <w:r>
          <w:rPr>
            <w:color w:val="0563C1"/>
          </w:rPr>
          <w:t xml:space="preserve"> </w:t>
        </w:r>
      </w:hyperlink>
    </w:p>
    <w:p w:rsidR="00130AB6" w:rsidRDefault="002C7D32">
      <w:pPr>
        <w:spacing w:after="180" w:line="259" w:lineRule="auto"/>
        <w:ind w:left="0" w:right="0" w:firstLine="0"/>
        <w:jc w:val="left"/>
      </w:pPr>
      <w:r>
        <w:t xml:space="preserve"> </w:t>
      </w:r>
    </w:p>
    <w:p w:rsidR="00130AB6" w:rsidRDefault="002C7D32">
      <w:pPr>
        <w:numPr>
          <w:ilvl w:val="0"/>
          <w:numId w:val="3"/>
        </w:numPr>
        <w:spacing w:line="240" w:lineRule="auto"/>
        <w:ind w:right="167" w:hanging="403"/>
        <w:jc w:val="left"/>
      </w:pPr>
      <w:r>
        <w:lastRenderedPageBreak/>
        <w:t xml:space="preserve">Nascimento KO, </w:t>
      </w:r>
      <w:proofErr w:type="spellStart"/>
      <w:r>
        <w:t>Takeiti</w:t>
      </w:r>
      <w:proofErr w:type="spellEnd"/>
      <w:r>
        <w:t xml:space="preserve"> CY, Barbosa MI. Doença Celíaca: Sintomas, Diagnóstico e Tratamento Nutricional. Saúde em Revista, Piracicaba. 2012; 12 (30): 53-63 </w:t>
      </w:r>
    </w:p>
    <w:p w:rsidR="00130AB6" w:rsidRDefault="002C7D32">
      <w:pPr>
        <w:spacing w:after="177" w:line="259" w:lineRule="auto"/>
        <w:ind w:left="0" w:right="0" w:firstLine="0"/>
        <w:jc w:val="left"/>
      </w:pPr>
      <w:r>
        <w:t xml:space="preserve"> </w:t>
      </w:r>
    </w:p>
    <w:p w:rsidR="00130AB6" w:rsidRDefault="002C7D32">
      <w:pPr>
        <w:numPr>
          <w:ilvl w:val="0"/>
          <w:numId w:val="3"/>
        </w:numPr>
        <w:spacing w:after="200" w:line="240" w:lineRule="auto"/>
        <w:ind w:right="167" w:hanging="403"/>
        <w:jc w:val="left"/>
      </w:pPr>
      <w:proofErr w:type="spellStart"/>
      <w:r w:rsidRPr="00E06D62">
        <w:rPr>
          <w:lang w:val="en-US"/>
        </w:rPr>
        <w:t>Lebwohl</w:t>
      </w:r>
      <w:proofErr w:type="spellEnd"/>
      <w:r w:rsidRPr="00E06D62">
        <w:rPr>
          <w:lang w:val="en-US"/>
        </w:rPr>
        <w:t xml:space="preserve"> B, Rubio-Tapia A. Epidemiology, Presentation, and Diagnosis of Celiac Disease. </w:t>
      </w:r>
      <w:proofErr w:type="spellStart"/>
      <w:r>
        <w:t>Gastroentero</w:t>
      </w:r>
      <w:r>
        <w:t>logy</w:t>
      </w:r>
      <w:proofErr w:type="spellEnd"/>
      <w:r>
        <w:t xml:space="preserve">. 2021. </w:t>
      </w:r>
      <w:r>
        <w:rPr>
          <w:color w:val="212121"/>
        </w:rPr>
        <w:t>Acesso em: [19 set. 2023]</w:t>
      </w:r>
      <w:r>
        <w:t xml:space="preserve">;160(1):63-75. Disponível em: </w:t>
      </w:r>
      <w:hyperlink r:id="rId41">
        <w:r>
          <w:rPr>
            <w:color w:val="0563C1"/>
            <w:u w:val="single" w:color="0563C1"/>
          </w:rPr>
          <w:t>https://doi.org/10.1053/j.gastro.2020.06.098</w:t>
        </w:r>
      </w:hyperlink>
      <w:hyperlink r:id="rId42">
        <w:r>
          <w:t xml:space="preserve"> </w:t>
        </w:r>
      </w:hyperlink>
    </w:p>
    <w:p w:rsidR="00130AB6" w:rsidRDefault="002C7D32">
      <w:pPr>
        <w:spacing w:after="177" w:line="259" w:lineRule="auto"/>
        <w:ind w:left="0" w:right="0" w:firstLine="0"/>
        <w:jc w:val="left"/>
      </w:pPr>
      <w:r>
        <w:t xml:space="preserve"> </w:t>
      </w:r>
    </w:p>
    <w:p w:rsidR="00130AB6" w:rsidRDefault="002C7D32">
      <w:pPr>
        <w:spacing w:after="0" w:line="259" w:lineRule="auto"/>
        <w:ind w:left="0" w:right="0" w:firstLine="0"/>
        <w:jc w:val="left"/>
      </w:pPr>
      <w:r>
        <w:t xml:space="preserve"> </w:t>
      </w:r>
    </w:p>
    <w:p w:rsidR="00130AB6" w:rsidRDefault="002C7D32">
      <w:pPr>
        <w:numPr>
          <w:ilvl w:val="0"/>
          <w:numId w:val="3"/>
        </w:numPr>
        <w:spacing w:line="240" w:lineRule="auto"/>
        <w:ind w:right="167" w:hanging="403"/>
        <w:jc w:val="left"/>
      </w:pPr>
      <w:proofErr w:type="spellStart"/>
      <w:r>
        <w:t>Sipahi</w:t>
      </w:r>
      <w:proofErr w:type="spellEnd"/>
      <w:r>
        <w:t xml:space="preserve"> AM, </w:t>
      </w:r>
      <w:r>
        <w:t xml:space="preserve">Freitas IN, Lordello ML, Damião AO. Doença celíaca no adulto. Revista Brasileira de Medicina (RBM). 2000 </w:t>
      </w:r>
      <w:proofErr w:type="spellStart"/>
      <w:r>
        <w:t>Nov</w:t>
      </w:r>
      <w:proofErr w:type="spellEnd"/>
      <w:r>
        <w:t xml:space="preserve">; 57 (11): 1254-1264 </w:t>
      </w:r>
    </w:p>
    <w:p w:rsidR="00130AB6" w:rsidRDefault="002C7D32">
      <w:pPr>
        <w:spacing w:after="177" w:line="259" w:lineRule="auto"/>
        <w:ind w:left="0" w:right="0" w:firstLine="0"/>
        <w:jc w:val="left"/>
      </w:pPr>
      <w:r>
        <w:t xml:space="preserve"> </w:t>
      </w:r>
    </w:p>
    <w:p w:rsidR="00130AB6" w:rsidRDefault="002C7D32">
      <w:pPr>
        <w:numPr>
          <w:ilvl w:val="0"/>
          <w:numId w:val="3"/>
        </w:numPr>
        <w:spacing w:after="0" w:line="259" w:lineRule="auto"/>
        <w:ind w:right="167" w:hanging="403"/>
        <w:jc w:val="left"/>
      </w:pPr>
      <w:r>
        <w:t xml:space="preserve">Dias JA, Ramalho PM, Ferreira GC, Brandão NA, Antunes H, Santos F, et al. </w:t>
      </w:r>
    </w:p>
    <w:p w:rsidR="00130AB6" w:rsidRDefault="002C7D32">
      <w:pPr>
        <w:spacing w:line="240" w:lineRule="auto"/>
        <w:ind w:left="-5" w:right="167"/>
      </w:pPr>
      <w:r>
        <w:t xml:space="preserve">Guia do Celíaco. Edição da Secção de </w:t>
      </w:r>
      <w:proofErr w:type="spellStart"/>
      <w:r>
        <w:t>Gastro</w:t>
      </w:r>
      <w:r>
        <w:t>enterologia</w:t>
      </w:r>
      <w:proofErr w:type="spellEnd"/>
      <w:r>
        <w:t xml:space="preserve"> e Nutrição da Sociedade Portuguesa de Pediatria; 2007 </w:t>
      </w:r>
    </w:p>
    <w:p w:rsidR="00130AB6" w:rsidRDefault="002C7D32">
      <w:pPr>
        <w:spacing w:after="177" w:line="259" w:lineRule="auto"/>
        <w:ind w:left="0" w:right="0" w:firstLine="0"/>
        <w:jc w:val="left"/>
      </w:pPr>
      <w:r>
        <w:t xml:space="preserve"> </w:t>
      </w:r>
    </w:p>
    <w:p w:rsidR="00130AB6" w:rsidRDefault="002C7D32">
      <w:pPr>
        <w:numPr>
          <w:ilvl w:val="0"/>
          <w:numId w:val="3"/>
        </w:numPr>
        <w:spacing w:after="0" w:line="240" w:lineRule="auto"/>
        <w:ind w:right="167" w:hanging="403"/>
        <w:jc w:val="left"/>
      </w:pPr>
      <w:proofErr w:type="spellStart"/>
      <w:r w:rsidRPr="00E06D62">
        <w:rPr>
          <w:color w:val="212121"/>
          <w:lang w:val="en-US"/>
        </w:rPr>
        <w:t>Leffer</w:t>
      </w:r>
      <w:proofErr w:type="spellEnd"/>
      <w:r w:rsidRPr="00E06D62">
        <w:rPr>
          <w:color w:val="212121"/>
          <w:lang w:val="en-US"/>
        </w:rPr>
        <w:t xml:space="preserve"> DA, Green PH, Fasano A. Extraintestinal manifestations of coeliac disease. </w:t>
      </w:r>
      <w:r>
        <w:rPr>
          <w:color w:val="212121"/>
        </w:rPr>
        <w:t xml:space="preserve">Nat </w:t>
      </w:r>
      <w:proofErr w:type="spellStart"/>
      <w:r>
        <w:rPr>
          <w:color w:val="212121"/>
        </w:rPr>
        <w:t>Rev</w:t>
      </w:r>
      <w:proofErr w:type="spellEnd"/>
      <w:r>
        <w:rPr>
          <w:color w:val="212121"/>
        </w:rPr>
        <w:t xml:space="preserve"> </w:t>
      </w:r>
      <w:proofErr w:type="spellStart"/>
      <w:r>
        <w:rPr>
          <w:color w:val="212121"/>
        </w:rPr>
        <w:t>Gastroenterol</w:t>
      </w:r>
      <w:proofErr w:type="spellEnd"/>
      <w:r>
        <w:rPr>
          <w:color w:val="212121"/>
        </w:rPr>
        <w:t xml:space="preserve"> </w:t>
      </w:r>
      <w:proofErr w:type="spellStart"/>
      <w:r>
        <w:rPr>
          <w:color w:val="212121"/>
        </w:rPr>
        <w:t>Hepatol</w:t>
      </w:r>
      <w:proofErr w:type="spellEnd"/>
      <w:r>
        <w:rPr>
          <w:color w:val="212121"/>
        </w:rPr>
        <w:t xml:space="preserve">. 2015. Acesso em: [30 set. </w:t>
      </w:r>
    </w:p>
    <w:p w:rsidR="00130AB6" w:rsidRDefault="002C7D32">
      <w:pPr>
        <w:spacing w:after="189" w:line="250" w:lineRule="auto"/>
        <w:ind w:left="-5" w:right="0"/>
        <w:jc w:val="left"/>
      </w:pPr>
      <w:r>
        <w:rPr>
          <w:color w:val="212121"/>
        </w:rPr>
        <w:t xml:space="preserve">2022];12(10):561-71. Disponível em: </w:t>
      </w:r>
      <w:hyperlink r:id="rId43">
        <w:r>
          <w:rPr>
            <w:color w:val="0563C1"/>
            <w:u w:val="single" w:color="0563C1"/>
          </w:rPr>
          <w:t>https://doi.org/10.1038/nrgastro.2015.131</w:t>
        </w:r>
      </w:hyperlink>
      <w:hyperlink r:id="rId44">
        <w:r>
          <w:rPr>
            <w:color w:val="0563C1"/>
          </w:rPr>
          <w:t xml:space="preserve"> </w:t>
        </w:r>
      </w:hyperlink>
    </w:p>
    <w:p w:rsidR="00130AB6" w:rsidRDefault="002C7D32">
      <w:pPr>
        <w:spacing w:after="180" w:line="259" w:lineRule="auto"/>
        <w:ind w:left="0" w:right="0" w:firstLine="0"/>
        <w:jc w:val="left"/>
      </w:pPr>
      <w:r>
        <w:rPr>
          <w:color w:val="0563C1"/>
        </w:rPr>
        <w:t xml:space="preserve"> </w:t>
      </w:r>
    </w:p>
    <w:p w:rsidR="00130AB6" w:rsidRDefault="002C7D32">
      <w:pPr>
        <w:numPr>
          <w:ilvl w:val="0"/>
          <w:numId w:val="3"/>
        </w:numPr>
        <w:spacing w:line="240" w:lineRule="auto"/>
        <w:ind w:right="167" w:hanging="403"/>
        <w:jc w:val="left"/>
      </w:pPr>
      <w:r>
        <w:t xml:space="preserve">Baptista ML. Doença celíaca: uma visão contemporânea. Pediatria. 2006;28(4): 262-271 </w:t>
      </w:r>
    </w:p>
    <w:p w:rsidR="00130AB6" w:rsidRDefault="002C7D32">
      <w:pPr>
        <w:spacing w:after="177" w:line="259" w:lineRule="auto"/>
        <w:ind w:left="0" w:right="0" w:firstLine="0"/>
        <w:jc w:val="left"/>
      </w:pPr>
      <w:r>
        <w:t xml:space="preserve"> </w:t>
      </w:r>
    </w:p>
    <w:p w:rsidR="00130AB6" w:rsidRDefault="002C7D32">
      <w:pPr>
        <w:numPr>
          <w:ilvl w:val="0"/>
          <w:numId w:val="3"/>
        </w:numPr>
        <w:spacing w:after="0" w:line="241" w:lineRule="auto"/>
        <w:ind w:right="167" w:hanging="403"/>
        <w:jc w:val="left"/>
      </w:pPr>
      <w:r>
        <w:t xml:space="preserve">Silva TS, </w:t>
      </w:r>
      <w:proofErr w:type="spellStart"/>
      <w:r>
        <w:t>Fu</w:t>
      </w:r>
      <w:r>
        <w:t>rlanetto</w:t>
      </w:r>
      <w:proofErr w:type="spellEnd"/>
      <w:r>
        <w:t xml:space="preserve"> TW. Diagnóstico de doença celíaca em adultos. </w:t>
      </w:r>
      <w:proofErr w:type="spellStart"/>
      <w:r>
        <w:t>Rev</w:t>
      </w:r>
      <w:proofErr w:type="spellEnd"/>
      <w:r>
        <w:t xml:space="preserve"> </w:t>
      </w:r>
      <w:proofErr w:type="spellStart"/>
      <w:r>
        <w:t>Assoc</w:t>
      </w:r>
      <w:proofErr w:type="spellEnd"/>
      <w:r>
        <w:t xml:space="preserve"> </w:t>
      </w:r>
      <w:proofErr w:type="spellStart"/>
      <w:r>
        <w:t>Med</w:t>
      </w:r>
      <w:proofErr w:type="spellEnd"/>
      <w:r>
        <w:t xml:space="preserve"> </w:t>
      </w:r>
      <w:proofErr w:type="spellStart"/>
      <w:r>
        <w:t>Bras</w:t>
      </w:r>
      <w:proofErr w:type="spellEnd"/>
      <w:r>
        <w:t xml:space="preserve"> [Internet]. 2010. </w:t>
      </w:r>
      <w:r>
        <w:rPr>
          <w:color w:val="212121"/>
        </w:rPr>
        <w:t>Acesso em: [21 set. 2022]</w:t>
      </w:r>
      <w:r>
        <w:t xml:space="preserve">;56(1):122–6. Disponível em: </w:t>
      </w:r>
    </w:p>
    <w:p w:rsidR="00130AB6" w:rsidRDefault="002C7D32">
      <w:pPr>
        <w:spacing w:after="189" w:line="250" w:lineRule="auto"/>
        <w:ind w:left="-5" w:right="0"/>
        <w:jc w:val="left"/>
      </w:pPr>
      <w:hyperlink r:id="rId45">
        <w:r>
          <w:rPr>
            <w:color w:val="0563C1"/>
            <w:u w:val="single" w:color="0563C1"/>
          </w:rPr>
          <w:t>https://doi.org/10.1590/S0104</w:t>
        </w:r>
      </w:hyperlink>
      <w:hyperlink r:id="rId46">
        <w:r>
          <w:rPr>
            <w:color w:val="0563C1"/>
            <w:u w:val="single" w:color="0563C1"/>
          </w:rPr>
          <w:t>-</w:t>
        </w:r>
      </w:hyperlink>
      <w:hyperlink r:id="rId47">
        <w:r>
          <w:rPr>
            <w:color w:val="0563C1"/>
            <w:u w:val="single" w:color="0563C1"/>
          </w:rPr>
          <w:t>42302010000100027</w:t>
        </w:r>
      </w:hyperlink>
      <w:hyperlink r:id="rId48">
        <w:r>
          <w:t xml:space="preserve"> </w:t>
        </w:r>
      </w:hyperlink>
    </w:p>
    <w:p w:rsidR="00130AB6" w:rsidRDefault="002C7D32">
      <w:pPr>
        <w:spacing w:after="178" w:line="259" w:lineRule="auto"/>
        <w:ind w:left="0" w:right="0" w:firstLine="0"/>
        <w:jc w:val="left"/>
      </w:pPr>
      <w:r>
        <w:t xml:space="preserve"> </w:t>
      </w:r>
    </w:p>
    <w:p w:rsidR="00130AB6" w:rsidRDefault="002C7D32">
      <w:pPr>
        <w:numPr>
          <w:ilvl w:val="0"/>
          <w:numId w:val="3"/>
        </w:numPr>
        <w:spacing w:after="200" w:line="240" w:lineRule="auto"/>
        <w:ind w:right="167" w:hanging="403"/>
        <w:jc w:val="left"/>
      </w:pPr>
      <w:r>
        <w:t xml:space="preserve">Hill ID. </w:t>
      </w:r>
      <w:proofErr w:type="spellStart"/>
      <w:r>
        <w:t>What</w:t>
      </w:r>
      <w:proofErr w:type="spellEnd"/>
      <w:r>
        <w:t xml:space="preserve"> are </w:t>
      </w:r>
      <w:proofErr w:type="spellStart"/>
      <w:r>
        <w:t>the</w:t>
      </w:r>
      <w:proofErr w:type="spellEnd"/>
      <w:r>
        <w:t xml:space="preserve"> </w:t>
      </w:r>
      <w:proofErr w:type="spellStart"/>
      <w:r>
        <w:t>sensitivity</w:t>
      </w:r>
      <w:proofErr w:type="spellEnd"/>
      <w:r>
        <w:t xml:space="preserve"> </w:t>
      </w:r>
      <w:proofErr w:type="spellStart"/>
      <w:r>
        <w:t>and</w:t>
      </w:r>
      <w:proofErr w:type="spellEnd"/>
      <w:r>
        <w:t xml:space="preserve"> </w:t>
      </w:r>
      <w:proofErr w:type="spellStart"/>
      <w:r>
        <w:t>specificity</w:t>
      </w:r>
      <w:proofErr w:type="spellEnd"/>
      <w:r>
        <w:t xml:space="preserve"> </w:t>
      </w:r>
      <w:proofErr w:type="spellStart"/>
      <w:r>
        <w:t>of</w:t>
      </w:r>
      <w:proofErr w:type="spellEnd"/>
      <w:r>
        <w:t xml:space="preserve"> </w:t>
      </w:r>
      <w:proofErr w:type="spellStart"/>
      <w:r>
        <w:t>serologic</w:t>
      </w:r>
      <w:proofErr w:type="spellEnd"/>
      <w:r>
        <w:t xml:space="preserve"> </w:t>
      </w:r>
      <w:proofErr w:type="spellStart"/>
      <w:r>
        <w:t>tests</w:t>
      </w:r>
      <w:proofErr w:type="spellEnd"/>
      <w:r>
        <w:t xml:space="preserve"> for </w:t>
      </w:r>
      <w:proofErr w:type="spellStart"/>
      <w:r>
        <w:t>celiac</w:t>
      </w:r>
      <w:proofErr w:type="spellEnd"/>
      <w:r>
        <w:t xml:space="preserve"> </w:t>
      </w:r>
      <w:proofErr w:type="spellStart"/>
      <w:r>
        <w:t>disease</w:t>
      </w:r>
      <w:proofErr w:type="spellEnd"/>
      <w:r>
        <w:t xml:space="preserve">? </w:t>
      </w:r>
      <w:r w:rsidRPr="00E06D62">
        <w:rPr>
          <w:lang w:val="en-US"/>
        </w:rPr>
        <w:t>Do sensitivity and specificity vary in different populations? Gastroenterology</w:t>
      </w:r>
      <w:r w:rsidRPr="00E06D62">
        <w:rPr>
          <w:b/>
          <w:lang w:val="en-US"/>
        </w:rPr>
        <w:t xml:space="preserve"> </w:t>
      </w:r>
      <w:r w:rsidRPr="00E06D62">
        <w:rPr>
          <w:lang w:val="en-US"/>
        </w:rPr>
        <w:t>[Internet].</w:t>
      </w:r>
      <w:r w:rsidRPr="00E06D62">
        <w:rPr>
          <w:color w:val="212121"/>
          <w:lang w:val="en-US"/>
        </w:rPr>
        <w:t xml:space="preserve"> </w:t>
      </w:r>
      <w:r>
        <w:rPr>
          <w:color w:val="212121"/>
        </w:rPr>
        <w:t xml:space="preserve">2005. Acesso em: [8 jan. 2023];128(4 </w:t>
      </w:r>
      <w:proofErr w:type="spellStart"/>
      <w:r>
        <w:rPr>
          <w:color w:val="212121"/>
        </w:rPr>
        <w:t>Suppl</w:t>
      </w:r>
      <w:proofErr w:type="spellEnd"/>
      <w:r>
        <w:rPr>
          <w:color w:val="212121"/>
        </w:rPr>
        <w:t xml:space="preserve"> 1):25-32. Disponível em: </w:t>
      </w:r>
      <w:hyperlink r:id="rId49">
        <w:r>
          <w:rPr>
            <w:color w:val="0563C1"/>
            <w:u w:val="single" w:color="0563C1"/>
          </w:rPr>
          <w:t>https://doi.org/10.1053/j.gastro.2005.02.012</w:t>
        </w:r>
      </w:hyperlink>
      <w:hyperlink r:id="rId50">
        <w:r>
          <w:rPr>
            <w:color w:val="0563C1"/>
          </w:rPr>
          <w:t xml:space="preserve"> </w:t>
        </w:r>
      </w:hyperlink>
    </w:p>
    <w:p w:rsidR="00130AB6" w:rsidRDefault="002C7D32">
      <w:pPr>
        <w:spacing w:after="180" w:line="259" w:lineRule="auto"/>
        <w:ind w:left="0" w:right="0" w:firstLine="0"/>
        <w:jc w:val="left"/>
      </w:pPr>
      <w:r>
        <w:t xml:space="preserve"> </w:t>
      </w:r>
    </w:p>
    <w:p w:rsidR="00130AB6" w:rsidRDefault="002C7D32">
      <w:pPr>
        <w:numPr>
          <w:ilvl w:val="0"/>
          <w:numId w:val="3"/>
        </w:numPr>
        <w:spacing w:after="1" w:line="240" w:lineRule="auto"/>
        <w:ind w:right="167" w:hanging="403"/>
        <w:jc w:val="left"/>
      </w:pPr>
      <w:r>
        <w:rPr>
          <w:color w:val="212121"/>
        </w:rPr>
        <w:t>Al-</w:t>
      </w:r>
      <w:r>
        <w:rPr>
          <w:color w:val="212121"/>
        </w:rPr>
        <w:t xml:space="preserve">toma A, Volta U, </w:t>
      </w:r>
      <w:proofErr w:type="spellStart"/>
      <w:r>
        <w:rPr>
          <w:color w:val="212121"/>
        </w:rPr>
        <w:t>Auricchio</w:t>
      </w:r>
      <w:proofErr w:type="spellEnd"/>
      <w:r>
        <w:rPr>
          <w:color w:val="212121"/>
        </w:rPr>
        <w:t xml:space="preserve"> R, </w:t>
      </w:r>
      <w:proofErr w:type="spellStart"/>
      <w:r>
        <w:rPr>
          <w:color w:val="212121"/>
        </w:rPr>
        <w:t>Castillejo</w:t>
      </w:r>
      <w:proofErr w:type="spellEnd"/>
      <w:r>
        <w:rPr>
          <w:color w:val="212121"/>
        </w:rPr>
        <w:t xml:space="preserve"> G, Sanders DS, </w:t>
      </w:r>
      <w:proofErr w:type="spellStart"/>
      <w:r>
        <w:rPr>
          <w:color w:val="212121"/>
        </w:rPr>
        <w:t>Cellier</w:t>
      </w:r>
      <w:proofErr w:type="spellEnd"/>
      <w:r>
        <w:rPr>
          <w:color w:val="212121"/>
        </w:rPr>
        <w:t xml:space="preserve"> C, et al. </w:t>
      </w:r>
      <w:proofErr w:type="spellStart"/>
      <w:r>
        <w:rPr>
          <w:color w:val="212121"/>
        </w:rPr>
        <w:t>European</w:t>
      </w:r>
      <w:proofErr w:type="spellEnd"/>
      <w:r>
        <w:rPr>
          <w:color w:val="212121"/>
        </w:rPr>
        <w:t xml:space="preserve"> Society for </w:t>
      </w:r>
      <w:proofErr w:type="spellStart"/>
      <w:r>
        <w:rPr>
          <w:color w:val="212121"/>
        </w:rPr>
        <w:t>the</w:t>
      </w:r>
      <w:proofErr w:type="spellEnd"/>
      <w:r>
        <w:rPr>
          <w:color w:val="212121"/>
        </w:rPr>
        <w:t xml:space="preserve"> </w:t>
      </w:r>
      <w:proofErr w:type="spellStart"/>
      <w:r>
        <w:rPr>
          <w:color w:val="212121"/>
        </w:rPr>
        <w:t>Study</w:t>
      </w:r>
      <w:proofErr w:type="spellEnd"/>
      <w:r>
        <w:rPr>
          <w:color w:val="212121"/>
        </w:rPr>
        <w:t xml:space="preserve"> </w:t>
      </w:r>
      <w:proofErr w:type="spellStart"/>
      <w:r>
        <w:rPr>
          <w:color w:val="212121"/>
        </w:rPr>
        <w:t>of</w:t>
      </w:r>
      <w:proofErr w:type="spellEnd"/>
      <w:r>
        <w:rPr>
          <w:color w:val="212121"/>
        </w:rPr>
        <w:t xml:space="preserve"> </w:t>
      </w:r>
      <w:proofErr w:type="spellStart"/>
      <w:r>
        <w:rPr>
          <w:color w:val="212121"/>
        </w:rPr>
        <w:t>Coeliac</w:t>
      </w:r>
      <w:proofErr w:type="spellEnd"/>
      <w:r>
        <w:rPr>
          <w:color w:val="212121"/>
        </w:rPr>
        <w:t xml:space="preserve"> </w:t>
      </w:r>
      <w:proofErr w:type="spellStart"/>
      <w:r>
        <w:rPr>
          <w:color w:val="212121"/>
        </w:rPr>
        <w:t>Disease</w:t>
      </w:r>
      <w:proofErr w:type="spellEnd"/>
      <w:r>
        <w:rPr>
          <w:color w:val="212121"/>
        </w:rPr>
        <w:t xml:space="preserve"> (</w:t>
      </w:r>
      <w:proofErr w:type="spellStart"/>
      <w:r>
        <w:rPr>
          <w:color w:val="212121"/>
        </w:rPr>
        <w:t>ESsCD</w:t>
      </w:r>
      <w:proofErr w:type="spellEnd"/>
      <w:r>
        <w:rPr>
          <w:color w:val="212121"/>
        </w:rPr>
        <w:t xml:space="preserve">) </w:t>
      </w:r>
      <w:proofErr w:type="spellStart"/>
      <w:r>
        <w:rPr>
          <w:color w:val="212121"/>
        </w:rPr>
        <w:t>guideline</w:t>
      </w:r>
      <w:proofErr w:type="spellEnd"/>
      <w:r>
        <w:rPr>
          <w:color w:val="212121"/>
        </w:rPr>
        <w:t xml:space="preserve"> for </w:t>
      </w:r>
      <w:proofErr w:type="spellStart"/>
      <w:r>
        <w:rPr>
          <w:color w:val="212121"/>
        </w:rPr>
        <w:t>coeliac</w:t>
      </w:r>
      <w:proofErr w:type="spellEnd"/>
      <w:r>
        <w:rPr>
          <w:color w:val="212121"/>
        </w:rPr>
        <w:t xml:space="preserve"> </w:t>
      </w:r>
      <w:proofErr w:type="spellStart"/>
      <w:r>
        <w:rPr>
          <w:color w:val="212121"/>
        </w:rPr>
        <w:t>disease</w:t>
      </w:r>
      <w:proofErr w:type="spellEnd"/>
      <w:r>
        <w:rPr>
          <w:color w:val="212121"/>
        </w:rPr>
        <w:t xml:space="preserve"> </w:t>
      </w:r>
      <w:proofErr w:type="spellStart"/>
      <w:r>
        <w:rPr>
          <w:color w:val="212121"/>
        </w:rPr>
        <w:t>and</w:t>
      </w:r>
      <w:proofErr w:type="spellEnd"/>
      <w:r>
        <w:rPr>
          <w:color w:val="212121"/>
        </w:rPr>
        <w:t xml:space="preserve"> </w:t>
      </w:r>
      <w:proofErr w:type="spellStart"/>
      <w:r>
        <w:rPr>
          <w:color w:val="212121"/>
        </w:rPr>
        <w:t>other</w:t>
      </w:r>
      <w:proofErr w:type="spellEnd"/>
      <w:r>
        <w:rPr>
          <w:color w:val="212121"/>
        </w:rPr>
        <w:t xml:space="preserve"> </w:t>
      </w:r>
      <w:proofErr w:type="spellStart"/>
      <w:r>
        <w:rPr>
          <w:color w:val="212121"/>
        </w:rPr>
        <w:t>gluten-related</w:t>
      </w:r>
      <w:proofErr w:type="spellEnd"/>
      <w:r>
        <w:rPr>
          <w:color w:val="212121"/>
        </w:rPr>
        <w:t xml:space="preserve"> </w:t>
      </w:r>
      <w:proofErr w:type="spellStart"/>
      <w:r>
        <w:rPr>
          <w:color w:val="212121"/>
        </w:rPr>
        <w:t>disorders</w:t>
      </w:r>
      <w:proofErr w:type="spellEnd"/>
      <w:r>
        <w:rPr>
          <w:color w:val="212121"/>
        </w:rPr>
        <w:t xml:space="preserve">. United </w:t>
      </w:r>
      <w:proofErr w:type="spellStart"/>
      <w:r>
        <w:rPr>
          <w:color w:val="212121"/>
        </w:rPr>
        <w:t>European</w:t>
      </w:r>
      <w:proofErr w:type="spellEnd"/>
      <w:r>
        <w:rPr>
          <w:color w:val="212121"/>
        </w:rPr>
        <w:t xml:space="preserve"> </w:t>
      </w:r>
      <w:proofErr w:type="spellStart"/>
      <w:r>
        <w:rPr>
          <w:color w:val="212121"/>
        </w:rPr>
        <w:t>Gastroenterol</w:t>
      </w:r>
      <w:proofErr w:type="spellEnd"/>
      <w:r>
        <w:rPr>
          <w:color w:val="212121"/>
        </w:rPr>
        <w:t xml:space="preserve"> J. 2019. </w:t>
      </w:r>
    </w:p>
    <w:p w:rsidR="00130AB6" w:rsidRDefault="002C7D32">
      <w:pPr>
        <w:spacing w:after="201" w:line="240" w:lineRule="auto"/>
        <w:ind w:left="-5" w:right="179"/>
        <w:jc w:val="left"/>
      </w:pPr>
      <w:r>
        <w:rPr>
          <w:color w:val="212121"/>
        </w:rPr>
        <w:t>Acesso em: [1 ago.</w:t>
      </w:r>
      <w:r>
        <w:rPr>
          <w:color w:val="212121"/>
        </w:rPr>
        <w:t xml:space="preserve"> 2022]</w:t>
      </w:r>
      <w:r>
        <w:t>;</w:t>
      </w:r>
      <w:r>
        <w:rPr>
          <w:color w:val="212121"/>
        </w:rPr>
        <w:t>7(5):583-613</w:t>
      </w:r>
      <w:r>
        <w:rPr>
          <w:b/>
          <w:color w:val="212121"/>
        </w:rPr>
        <w:t xml:space="preserve">. </w:t>
      </w:r>
      <w:r>
        <w:rPr>
          <w:color w:val="212121"/>
        </w:rPr>
        <w:t xml:space="preserve">Disponível em: </w:t>
      </w:r>
      <w:hyperlink r:id="rId51">
        <w:r>
          <w:rPr>
            <w:color w:val="0563C1"/>
            <w:u w:val="single" w:color="0563C1"/>
          </w:rPr>
          <w:t>https://doi.org/10.1177/2050640619844125</w:t>
        </w:r>
      </w:hyperlink>
      <w:hyperlink r:id="rId52">
        <w:r>
          <w:rPr>
            <w:color w:val="212121"/>
          </w:rPr>
          <w:t xml:space="preserve"> </w:t>
        </w:r>
      </w:hyperlink>
    </w:p>
    <w:p w:rsidR="00130AB6" w:rsidRDefault="002C7D32">
      <w:pPr>
        <w:spacing w:after="178" w:line="259" w:lineRule="auto"/>
        <w:ind w:left="0" w:right="0" w:firstLine="0"/>
        <w:jc w:val="left"/>
      </w:pPr>
      <w:r>
        <w:t xml:space="preserve"> </w:t>
      </w:r>
    </w:p>
    <w:p w:rsidR="00130AB6" w:rsidRDefault="002C7D32">
      <w:pPr>
        <w:numPr>
          <w:ilvl w:val="0"/>
          <w:numId w:val="3"/>
        </w:numPr>
        <w:spacing w:after="0" w:line="240" w:lineRule="auto"/>
        <w:ind w:right="167" w:hanging="403"/>
        <w:jc w:val="left"/>
      </w:pPr>
      <w:r>
        <w:lastRenderedPageBreak/>
        <w:t xml:space="preserve">Herrera MJ, </w:t>
      </w:r>
      <w:proofErr w:type="spellStart"/>
      <w:r>
        <w:t>Hermoso</w:t>
      </w:r>
      <w:proofErr w:type="spellEnd"/>
      <w:r>
        <w:t xml:space="preserve"> M, </w:t>
      </w:r>
      <w:proofErr w:type="spellStart"/>
      <w:r>
        <w:t>Quera</w:t>
      </w:r>
      <w:proofErr w:type="spellEnd"/>
      <w:r>
        <w:t xml:space="preserve"> R. </w:t>
      </w:r>
      <w:proofErr w:type="spellStart"/>
      <w:r>
        <w:t>Enfermedad</w:t>
      </w:r>
      <w:proofErr w:type="spellEnd"/>
      <w:r>
        <w:t xml:space="preserve"> celíaca y </w:t>
      </w:r>
      <w:proofErr w:type="spellStart"/>
      <w:r>
        <w:t>su</w:t>
      </w:r>
      <w:proofErr w:type="spellEnd"/>
      <w:r>
        <w:t xml:space="preserve"> </w:t>
      </w:r>
      <w:r>
        <w:t xml:space="preserve">patogenia. </w:t>
      </w:r>
      <w:proofErr w:type="spellStart"/>
      <w:r>
        <w:t>Rev</w:t>
      </w:r>
      <w:proofErr w:type="spellEnd"/>
      <w:r>
        <w:t xml:space="preserve"> </w:t>
      </w:r>
      <w:proofErr w:type="spellStart"/>
      <w:r>
        <w:t>Méd</w:t>
      </w:r>
      <w:proofErr w:type="spellEnd"/>
      <w:r>
        <w:t xml:space="preserve"> Chile [Internet]. 2009. </w:t>
      </w:r>
      <w:r>
        <w:rPr>
          <w:color w:val="212121"/>
        </w:rPr>
        <w:t>Acesso em: [31 jan. 2023]</w:t>
      </w:r>
      <w:r>
        <w:t xml:space="preserve">;137(12):1617-1626. Disponível em: </w:t>
      </w:r>
    </w:p>
    <w:p w:rsidR="00130AB6" w:rsidRDefault="002C7D32">
      <w:pPr>
        <w:spacing w:after="189" w:line="250" w:lineRule="auto"/>
        <w:ind w:left="-5" w:right="0"/>
        <w:jc w:val="left"/>
      </w:pPr>
      <w:hyperlink r:id="rId53">
        <w:r>
          <w:rPr>
            <w:color w:val="0563C1"/>
            <w:u w:val="single" w:color="0563C1"/>
          </w:rPr>
          <w:t>http://dx.doi.org/10.4067/S0034</w:t>
        </w:r>
      </w:hyperlink>
      <w:hyperlink r:id="rId54">
        <w:r>
          <w:rPr>
            <w:color w:val="0563C1"/>
            <w:u w:val="single" w:color="0563C1"/>
          </w:rPr>
          <w:t>-</w:t>
        </w:r>
      </w:hyperlink>
      <w:hyperlink r:id="rId55">
        <w:r>
          <w:rPr>
            <w:color w:val="0563C1"/>
            <w:u w:val="single" w:color="0563C1"/>
          </w:rPr>
          <w:t>98872009001200012</w:t>
        </w:r>
      </w:hyperlink>
      <w:hyperlink r:id="rId56">
        <w:r>
          <w:t xml:space="preserve"> </w:t>
        </w:r>
      </w:hyperlink>
    </w:p>
    <w:p w:rsidR="00130AB6" w:rsidRDefault="002C7D32">
      <w:pPr>
        <w:spacing w:after="180" w:line="259" w:lineRule="auto"/>
        <w:ind w:left="0" w:right="0" w:firstLine="0"/>
        <w:jc w:val="left"/>
      </w:pPr>
      <w:r>
        <w:rPr>
          <w:color w:val="212121"/>
        </w:rPr>
        <w:t xml:space="preserve"> </w:t>
      </w:r>
    </w:p>
    <w:p w:rsidR="00130AB6" w:rsidRDefault="002C7D32">
      <w:pPr>
        <w:numPr>
          <w:ilvl w:val="0"/>
          <w:numId w:val="3"/>
        </w:numPr>
        <w:spacing w:after="0" w:line="240" w:lineRule="auto"/>
        <w:ind w:right="167" w:hanging="403"/>
        <w:jc w:val="left"/>
      </w:pPr>
      <w:proofErr w:type="spellStart"/>
      <w:r>
        <w:t>Villafuerte-galvez</w:t>
      </w:r>
      <w:proofErr w:type="spellEnd"/>
      <w:r>
        <w:t xml:space="preserve"> J, </w:t>
      </w:r>
      <w:proofErr w:type="spellStart"/>
      <w:r>
        <w:t>Vanga</w:t>
      </w:r>
      <w:proofErr w:type="spellEnd"/>
      <w:r>
        <w:t xml:space="preserve"> RR, Dennis M, Hansen J, </w:t>
      </w:r>
      <w:proofErr w:type="spellStart"/>
      <w:r>
        <w:t>Leffler</w:t>
      </w:r>
      <w:proofErr w:type="spellEnd"/>
      <w:r>
        <w:t xml:space="preserve"> DA, Kelly CP, et al</w:t>
      </w:r>
      <w:r>
        <w:t xml:space="preserve">. </w:t>
      </w:r>
      <w:proofErr w:type="spellStart"/>
      <w:r>
        <w:t>Factors</w:t>
      </w:r>
      <w:proofErr w:type="spellEnd"/>
      <w:r>
        <w:t xml:space="preserve"> </w:t>
      </w:r>
      <w:proofErr w:type="spellStart"/>
      <w:r>
        <w:t>governing</w:t>
      </w:r>
      <w:proofErr w:type="spellEnd"/>
      <w:r>
        <w:t xml:space="preserve"> </w:t>
      </w:r>
      <w:proofErr w:type="spellStart"/>
      <w:r>
        <w:t>long-term</w:t>
      </w:r>
      <w:proofErr w:type="spellEnd"/>
      <w:r>
        <w:t xml:space="preserve"> </w:t>
      </w:r>
      <w:proofErr w:type="spellStart"/>
      <w:r>
        <w:t>adherence</w:t>
      </w:r>
      <w:proofErr w:type="spellEnd"/>
      <w:r>
        <w:t xml:space="preserve"> </w:t>
      </w:r>
      <w:proofErr w:type="spellStart"/>
      <w:r>
        <w:t>to</w:t>
      </w:r>
      <w:proofErr w:type="spellEnd"/>
      <w:r>
        <w:t xml:space="preserve"> a </w:t>
      </w:r>
      <w:proofErr w:type="spellStart"/>
      <w:r>
        <w:t>gluten-free</w:t>
      </w:r>
      <w:proofErr w:type="spellEnd"/>
      <w:r>
        <w:t xml:space="preserve"> diet in </w:t>
      </w:r>
      <w:proofErr w:type="spellStart"/>
      <w:r>
        <w:t>adult</w:t>
      </w:r>
      <w:proofErr w:type="spellEnd"/>
      <w:r>
        <w:t xml:space="preserve"> </w:t>
      </w:r>
      <w:proofErr w:type="spellStart"/>
      <w:r>
        <w:t>patients</w:t>
      </w:r>
      <w:proofErr w:type="spellEnd"/>
      <w:r>
        <w:t xml:space="preserve"> </w:t>
      </w:r>
      <w:proofErr w:type="spellStart"/>
      <w:r>
        <w:t>with</w:t>
      </w:r>
      <w:proofErr w:type="spellEnd"/>
      <w:r>
        <w:t xml:space="preserve"> </w:t>
      </w:r>
      <w:proofErr w:type="spellStart"/>
      <w:r>
        <w:t>coeliac</w:t>
      </w:r>
      <w:proofErr w:type="spellEnd"/>
      <w:r>
        <w:t xml:space="preserve"> </w:t>
      </w:r>
      <w:proofErr w:type="spellStart"/>
      <w:r>
        <w:t>disease</w:t>
      </w:r>
      <w:proofErr w:type="spellEnd"/>
      <w:r>
        <w:t xml:space="preserve">. </w:t>
      </w:r>
      <w:proofErr w:type="spellStart"/>
      <w:r>
        <w:rPr>
          <w:color w:val="212121"/>
        </w:rPr>
        <w:t>Aliment</w:t>
      </w:r>
      <w:proofErr w:type="spellEnd"/>
      <w:r>
        <w:rPr>
          <w:color w:val="212121"/>
        </w:rPr>
        <w:t xml:space="preserve"> </w:t>
      </w:r>
      <w:proofErr w:type="spellStart"/>
      <w:r>
        <w:rPr>
          <w:color w:val="212121"/>
        </w:rPr>
        <w:t>Pharmacol</w:t>
      </w:r>
      <w:proofErr w:type="spellEnd"/>
      <w:r>
        <w:rPr>
          <w:color w:val="212121"/>
        </w:rPr>
        <w:t xml:space="preserve"> </w:t>
      </w:r>
      <w:proofErr w:type="spellStart"/>
      <w:r>
        <w:rPr>
          <w:color w:val="212121"/>
        </w:rPr>
        <w:t>Ther</w:t>
      </w:r>
      <w:proofErr w:type="spellEnd"/>
      <w:r>
        <w:rPr>
          <w:color w:val="212121"/>
        </w:rPr>
        <w:t>, 2015. Acesso em: [9 mar. 2023]</w:t>
      </w:r>
      <w:r>
        <w:t>;</w:t>
      </w:r>
      <w:r>
        <w:rPr>
          <w:color w:val="212121"/>
        </w:rPr>
        <w:t>42(6):753-</w:t>
      </w:r>
    </w:p>
    <w:p w:rsidR="00130AB6" w:rsidRDefault="002C7D32">
      <w:pPr>
        <w:spacing w:after="189" w:line="250" w:lineRule="auto"/>
        <w:ind w:left="-5" w:right="0"/>
        <w:jc w:val="left"/>
      </w:pPr>
      <w:r>
        <w:rPr>
          <w:color w:val="212121"/>
        </w:rPr>
        <w:t xml:space="preserve">60. Disponível em: </w:t>
      </w:r>
      <w:hyperlink r:id="rId57">
        <w:r>
          <w:rPr>
            <w:color w:val="0563C1"/>
            <w:u w:val="single" w:color="0563C1"/>
          </w:rPr>
          <w:t>https://doi.org/</w:t>
        </w:r>
        <w:r>
          <w:rPr>
            <w:color w:val="0563C1"/>
            <w:u w:val="single" w:color="0563C1"/>
          </w:rPr>
          <w:t>10.1111/apt.13319</w:t>
        </w:r>
      </w:hyperlink>
      <w:hyperlink r:id="rId58">
        <w:r>
          <w:rPr>
            <w:color w:val="212121"/>
          </w:rPr>
          <w:t xml:space="preserve"> </w:t>
        </w:r>
      </w:hyperlink>
    </w:p>
    <w:p w:rsidR="00130AB6" w:rsidRDefault="002C7D32">
      <w:pPr>
        <w:spacing w:after="0" w:line="259" w:lineRule="auto"/>
        <w:ind w:left="0" w:right="0" w:firstLine="0"/>
        <w:jc w:val="left"/>
      </w:pPr>
      <w:r>
        <w:rPr>
          <w:color w:val="212121"/>
        </w:rPr>
        <w:t xml:space="preserve"> </w:t>
      </w:r>
    </w:p>
    <w:p w:rsidR="00130AB6" w:rsidRDefault="002C7D32">
      <w:pPr>
        <w:numPr>
          <w:ilvl w:val="0"/>
          <w:numId w:val="4"/>
        </w:numPr>
        <w:spacing w:after="201" w:line="240" w:lineRule="auto"/>
        <w:ind w:right="167" w:hanging="403"/>
        <w:jc w:val="left"/>
      </w:pPr>
      <w:r w:rsidRPr="00E06D62">
        <w:rPr>
          <w:color w:val="212121"/>
          <w:lang w:val="en-US"/>
        </w:rPr>
        <w:t xml:space="preserve">Singh J, Whelan K. Limited availability and higher cost of gluten-free foods. </w:t>
      </w:r>
      <w:r>
        <w:rPr>
          <w:color w:val="212121"/>
        </w:rPr>
        <w:t xml:space="preserve">J Hum </w:t>
      </w:r>
      <w:proofErr w:type="spellStart"/>
      <w:r>
        <w:rPr>
          <w:color w:val="212121"/>
        </w:rPr>
        <w:t>Nutr</w:t>
      </w:r>
      <w:proofErr w:type="spellEnd"/>
      <w:r>
        <w:rPr>
          <w:color w:val="212121"/>
        </w:rPr>
        <w:t xml:space="preserve"> Diet [Internet]. 2011. Acesso em: [14 mar. 2023];24(5):479-86. Disponível em: </w:t>
      </w:r>
      <w:hyperlink r:id="rId59">
        <w:r>
          <w:rPr>
            <w:color w:val="0563C1"/>
            <w:u w:val="single" w:color="0563C1"/>
          </w:rPr>
          <w:t>https://doi.org/10.1111/j.1365</w:t>
        </w:r>
      </w:hyperlink>
      <w:hyperlink r:id="rId60">
        <w:r>
          <w:rPr>
            <w:color w:val="0563C1"/>
            <w:u w:val="single" w:color="0563C1"/>
          </w:rPr>
          <w:t>-</w:t>
        </w:r>
      </w:hyperlink>
      <w:hyperlink r:id="rId61">
        <w:r>
          <w:rPr>
            <w:color w:val="0563C1"/>
            <w:u w:val="single" w:color="0563C1"/>
          </w:rPr>
          <w:t>277X.2011.01160.x</w:t>
        </w:r>
      </w:hyperlink>
      <w:hyperlink r:id="rId62">
        <w:r>
          <w:rPr>
            <w:color w:val="212121"/>
          </w:rPr>
          <w:t xml:space="preserve"> </w:t>
        </w:r>
      </w:hyperlink>
    </w:p>
    <w:p w:rsidR="00130AB6" w:rsidRDefault="002C7D32">
      <w:pPr>
        <w:numPr>
          <w:ilvl w:val="0"/>
          <w:numId w:val="4"/>
        </w:numPr>
        <w:spacing w:after="0" w:line="259" w:lineRule="auto"/>
        <w:ind w:right="167" w:hanging="403"/>
        <w:jc w:val="left"/>
      </w:pPr>
      <w:r>
        <w:t xml:space="preserve">Silva LA, Bessa CC, Guedes NG, Lopes MV, Silva VM, Santos JC, et al. </w:t>
      </w:r>
    </w:p>
    <w:p w:rsidR="00130AB6" w:rsidRPr="00E06D62" w:rsidRDefault="002C7D32">
      <w:pPr>
        <w:spacing w:after="0" w:line="259" w:lineRule="auto"/>
        <w:ind w:left="-5" w:right="167"/>
        <w:rPr>
          <w:lang w:val="en-US"/>
        </w:rPr>
      </w:pPr>
      <w:r w:rsidRPr="00E06D62">
        <w:rPr>
          <w:lang w:val="en-US"/>
        </w:rPr>
        <w:t xml:space="preserve">Accuracy of the clinical indicators of ineffective health management in celiac people. </w:t>
      </w:r>
    </w:p>
    <w:p w:rsidR="00130AB6" w:rsidRDefault="002C7D32">
      <w:pPr>
        <w:spacing w:line="240" w:lineRule="auto"/>
        <w:ind w:left="-5" w:right="167"/>
      </w:pPr>
      <w:proofErr w:type="spellStart"/>
      <w:r>
        <w:t>Rev</w:t>
      </w:r>
      <w:proofErr w:type="spellEnd"/>
      <w:r>
        <w:t xml:space="preserve"> </w:t>
      </w:r>
      <w:proofErr w:type="spellStart"/>
      <w:r>
        <w:t>Bras</w:t>
      </w:r>
      <w:proofErr w:type="spellEnd"/>
      <w:r>
        <w:t xml:space="preserve"> </w:t>
      </w:r>
      <w:proofErr w:type="spellStart"/>
      <w:r>
        <w:t>Enferm</w:t>
      </w:r>
      <w:proofErr w:type="spellEnd"/>
      <w:r>
        <w:t xml:space="preserve"> [Internet]. 2020. </w:t>
      </w:r>
      <w:r>
        <w:rPr>
          <w:color w:val="212121"/>
        </w:rPr>
        <w:t>Acesso em: [10 jun. 2023]</w:t>
      </w:r>
      <w:r>
        <w:t xml:space="preserve">;73(3):e20180739. Disponível em: </w:t>
      </w:r>
      <w:hyperlink r:id="rId63">
        <w:r>
          <w:rPr>
            <w:color w:val="0563C1"/>
            <w:u w:val="single" w:color="0563C1"/>
          </w:rPr>
          <w:t>https://doi.org/10.1590/0034</w:t>
        </w:r>
      </w:hyperlink>
      <w:hyperlink r:id="rId64">
        <w:r>
          <w:rPr>
            <w:color w:val="0563C1"/>
            <w:u w:val="single" w:color="0563C1"/>
          </w:rPr>
          <w:t>-</w:t>
        </w:r>
      </w:hyperlink>
      <w:hyperlink r:id="rId65">
        <w:r>
          <w:rPr>
            <w:color w:val="0563C1"/>
            <w:u w:val="single" w:color="0563C1"/>
          </w:rPr>
          <w:t>7167</w:t>
        </w:r>
      </w:hyperlink>
      <w:hyperlink r:id="rId66">
        <w:r>
          <w:rPr>
            <w:color w:val="0563C1"/>
            <w:u w:val="single" w:color="0563C1"/>
          </w:rPr>
          <w:t>-</w:t>
        </w:r>
      </w:hyperlink>
      <w:hyperlink r:id="rId67">
        <w:r>
          <w:rPr>
            <w:color w:val="0563C1"/>
            <w:u w:val="single" w:color="0563C1"/>
          </w:rPr>
          <w:t>2018</w:t>
        </w:r>
      </w:hyperlink>
      <w:hyperlink r:id="rId68">
        <w:r>
          <w:rPr>
            <w:color w:val="0563C1"/>
            <w:u w:val="single" w:color="0563C1"/>
          </w:rPr>
          <w:t>-</w:t>
        </w:r>
      </w:hyperlink>
      <w:hyperlink r:id="rId69">
        <w:r>
          <w:rPr>
            <w:color w:val="0563C1"/>
            <w:u w:val="single" w:color="0563C1"/>
          </w:rPr>
          <w:t>0739</w:t>
        </w:r>
      </w:hyperlink>
      <w:hyperlink r:id="rId70">
        <w:r>
          <w:rPr>
            <w:color w:val="0563C1"/>
          </w:rPr>
          <w:t xml:space="preserve"> </w:t>
        </w:r>
      </w:hyperlink>
    </w:p>
    <w:p w:rsidR="00130AB6" w:rsidRDefault="002C7D32">
      <w:pPr>
        <w:spacing w:after="180" w:line="259" w:lineRule="auto"/>
        <w:ind w:left="0" w:right="0" w:firstLine="0"/>
        <w:jc w:val="left"/>
      </w:pPr>
      <w:r>
        <w:rPr>
          <w:color w:val="0563C1"/>
        </w:rPr>
        <w:t xml:space="preserve"> </w:t>
      </w:r>
    </w:p>
    <w:p w:rsidR="00130AB6" w:rsidRDefault="002C7D32">
      <w:pPr>
        <w:numPr>
          <w:ilvl w:val="0"/>
          <w:numId w:val="4"/>
        </w:numPr>
        <w:spacing w:after="201" w:line="240" w:lineRule="auto"/>
        <w:ind w:right="167" w:hanging="403"/>
        <w:jc w:val="left"/>
      </w:pPr>
      <w:r w:rsidRPr="00E06D62">
        <w:rPr>
          <w:lang w:val="en-US"/>
        </w:rPr>
        <w:t>Ivarsson</w:t>
      </w:r>
      <w:r w:rsidRPr="00E06D62">
        <w:rPr>
          <w:color w:val="212121"/>
          <w:lang w:val="en-US"/>
        </w:rPr>
        <w:t xml:space="preserve"> A, Persson LA, </w:t>
      </w:r>
      <w:proofErr w:type="spellStart"/>
      <w:r w:rsidRPr="00E06D62">
        <w:rPr>
          <w:color w:val="212121"/>
          <w:lang w:val="en-US"/>
        </w:rPr>
        <w:t>Nyström</w:t>
      </w:r>
      <w:proofErr w:type="spellEnd"/>
      <w:r w:rsidRPr="00E06D62">
        <w:rPr>
          <w:color w:val="212121"/>
          <w:lang w:val="en-US"/>
        </w:rPr>
        <w:t xml:space="preserve"> L, </w:t>
      </w:r>
      <w:proofErr w:type="spellStart"/>
      <w:r w:rsidRPr="00E06D62">
        <w:rPr>
          <w:color w:val="212121"/>
          <w:lang w:val="en-US"/>
        </w:rPr>
        <w:t>Hernell</w:t>
      </w:r>
      <w:proofErr w:type="spellEnd"/>
      <w:r w:rsidRPr="00E06D62">
        <w:rPr>
          <w:color w:val="212121"/>
          <w:lang w:val="en-US"/>
        </w:rPr>
        <w:t xml:space="preserve"> O. The Swedish coeliac disease epidemic with a prevailing twofold higher risk in girls compared to boys may reflect </w:t>
      </w:r>
      <w:r w:rsidRPr="00E06D62">
        <w:rPr>
          <w:color w:val="212121"/>
          <w:lang w:val="en-US"/>
        </w:rPr>
        <w:t xml:space="preserve">gender specific risk factors. </w:t>
      </w:r>
      <w:proofErr w:type="spellStart"/>
      <w:r>
        <w:rPr>
          <w:color w:val="212121"/>
        </w:rPr>
        <w:t>Eur</w:t>
      </w:r>
      <w:proofErr w:type="spellEnd"/>
      <w:r>
        <w:rPr>
          <w:color w:val="212121"/>
        </w:rPr>
        <w:t xml:space="preserve"> J </w:t>
      </w:r>
      <w:proofErr w:type="spellStart"/>
      <w:r>
        <w:rPr>
          <w:color w:val="212121"/>
        </w:rPr>
        <w:t>of</w:t>
      </w:r>
      <w:proofErr w:type="spellEnd"/>
      <w:r>
        <w:rPr>
          <w:color w:val="212121"/>
        </w:rPr>
        <w:t xml:space="preserve"> </w:t>
      </w:r>
      <w:proofErr w:type="spellStart"/>
      <w:r>
        <w:rPr>
          <w:color w:val="212121"/>
        </w:rPr>
        <w:t>Epidemiol</w:t>
      </w:r>
      <w:proofErr w:type="spellEnd"/>
      <w:r>
        <w:rPr>
          <w:color w:val="212121"/>
        </w:rPr>
        <w:t xml:space="preserve"> [Internet]. 2003. Acesso em: [19 jun. 2023];18(7):677-84. Disponível em: </w:t>
      </w:r>
      <w:hyperlink r:id="rId71">
        <w:r>
          <w:rPr>
            <w:color w:val="0563C1"/>
            <w:u w:val="single" w:color="0563C1"/>
          </w:rPr>
          <w:t>https://doi.org/10.1023/a:1024873630588</w:t>
        </w:r>
      </w:hyperlink>
      <w:hyperlink r:id="rId72">
        <w:r>
          <w:rPr>
            <w:color w:val="212121"/>
          </w:rPr>
          <w:t xml:space="preserve"> </w:t>
        </w:r>
      </w:hyperlink>
    </w:p>
    <w:p w:rsidR="00130AB6" w:rsidRDefault="002C7D32">
      <w:pPr>
        <w:spacing w:after="177" w:line="259" w:lineRule="auto"/>
        <w:ind w:left="0" w:right="0" w:firstLine="0"/>
        <w:jc w:val="left"/>
      </w:pPr>
      <w:r>
        <w:rPr>
          <w:color w:val="212121"/>
        </w:rPr>
        <w:t xml:space="preserve"> </w:t>
      </w:r>
    </w:p>
    <w:p w:rsidR="00130AB6" w:rsidRDefault="002C7D32">
      <w:pPr>
        <w:numPr>
          <w:ilvl w:val="0"/>
          <w:numId w:val="4"/>
        </w:numPr>
        <w:spacing w:after="0" w:line="240" w:lineRule="auto"/>
        <w:ind w:right="167" w:hanging="403"/>
        <w:jc w:val="left"/>
      </w:pPr>
      <w:proofErr w:type="spellStart"/>
      <w:r>
        <w:t>Sdepanian</w:t>
      </w:r>
      <w:proofErr w:type="spellEnd"/>
      <w:r>
        <w:t xml:space="preserve"> VL, Morais MB, Fagundes-Neto U. Doença celíaca: características clínicas e métodos utilizados no diagnóstico de pacientes cadastrados na </w:t>
      </w:r>
    </w:p>
    <w:p w:rsidR="00130AB6" w:rsidRDefault="002C7D32">
      <w:pPr>
        <w:spacing w:after="200" w:line="240" w:lineRule="auto"/>
        <w:ind w:left="-5" w:right="162"/>
        <w:jc w:val="left"/>
      </w:pPr>
      <w:r>
        <w:t xml:space="preserve">Associação dos Celíacos do Brasil. J </w:t>
      </w:r>
      <w:proofErr w:type="spellStart"/>
      <w:r>
        <w:t>Pediatr</w:t>
      </w:r>
      <w:proofErr w:type="spellEnd"/>
      <w:r>
        <w:t xml:space="preserve"> (Rio J) [Internet]. 2001. </w:t>
      </w:r>
      <w:r>
        <w:rPr>
          <w:color w:val="212121"/>
        </w:rPr>
        <w:t>Acesso em: [19 jun. 2022]</w:t>
      </w:r>
      <w:r>
        <w:t xml:space="preserve">;77(2):131–8. Disponível em: </w:t>
      </w:r>
      <w:hyperlink r:id="rId73">
        <w:r>
          <w:rPr>
            <w:color w:val="0563C1"/>
            <w:u w:val="single" w:color="0563C1"/>
          </w:rPr>
          <w:t>https://doi.org/10.1590/S0021</w:t>
        </w:r>
      </w:hyperlink>
      <w:hyperlink r:id="rId74"/>
      <w:hyperlink r:id="rId75">
        <w:r>
          <w:rPr>
            <w:color w:val="0563C1"/>
            <w:u w:val="single" w:color="0563C1"/>
          </w:rPr>
          <w:t>75572001000200014</w:t>
        </w:r>
      </w:hyperlink>
      <w:hyperlink r:id="rId76">
        <w:r>
          <w:rPr>
            <w:color w:val="0563C1"/>
          </w:rPr>
          <w:t xml:space="preserve"> </w:t>
        </w:r>
      </w:hyperlink>
    </w:p>
    <w:p w:rsidR="00130AB6" w:rsidRDefault="002C7D32">
      <w:pPr>
        <w:spacing w:after="177" w:line="259" w:lineRule="auto"/>
        <w:ind w:left="0" w:right="0" w:firstLine="0"/>
        <w:jc w:val="left"/>
      </w:pPr>
      <w:r>
        <w:rPr>
          <w:color w:val="212121"/>
        </w:rPr>
        <w:t xml:space="preserve"> </w:t>
      </w:r>
    </w:p>
    <w:p w:rsidR="00130AB6" w:rsidRDefault="002C7D32">
      <w:pPr>
        <w:numPr>
          <w:ilvl w:val="0"/>
          <w:numId w:val="4"/>
        </w:numPr>
        <w:spacing w:after="200" w:line="240" w:lineRule="auto"/>
        <w:ind w:right="167" w:hanging="403"/>
        <w:jc w:val="left"/>
      </w:pPr>
      <w:r w:rsidRPr="00E06D62">
        <w:rPr>
          <w:lang w:val="en-US"/>
        </w:rPr>
        <w:t xml:space="preserve">Rostom A, Murray JA, </w:t>
      </w:r>
      <w:proofErr w:type="spellStart"/>
      <w:r w:rsidRPr="00E06D62">
        <w:rPr>
          <w:lang w:val="en-US"/>
        </w:rPr>
        <w:t>Kagnoff</w:t>
      </w:r>
      <w:proofErr w:type="spellEnd"/>
      <w:r w:rsidRPr="00E06D62">
        <w:rPr>
          <w:lang w:val="en-US"/>
        </w:rPr>
        <w:t xml:space="preserve"> MF. American Gastroenterological Association (AGA) Institute technical review on the diagnosis and management o</w:t>
      </w:r>
      <w:r w:rsidRPr="00E06D62">
        <w:rPr>
          <w:lang w:val="en-US"/>
        </w:rPr>
        <w:t xml:space="preserve">f celiac disease. </w:t>
      </w:r>
      <w:proofErr w:type="spellStart"/>
      <w:r>
        <w:t>Gastroenterology</w:t>
      </w:r>
      <w:proofErr w:type="spellEnd"/>
      <w:r>
        <w:t xml:space="preserve">. 2006. </w:t>
      </w:r>
      <w:r>
        <w:rPr>
          <w:color w:val="212121"/>
        </w:rPr>
        <w:t>Acesso em: [20 jun. 2023]</w:t>
      </w:r>
      <w:r>
        <w:t xml:space="preserve">;131(6):1981-2002. Disponível em: </w:t>
      </w:r>
      <w:hyperlink r:id="rId77">
        <w:r>
          <w:rPr>
            <w:color w:val="0563C1"/>
            <w:u w:val="single" w:color="0563C1"/>
          </w:rPr>
          <w:t>https://doi.org/10.1053/j.gastro.2006.10.003</w:t>
        </w:r>
      </w:hyperlink>
      <w:hyperlink r:id="rId78">
        <w:r>
          <w:rPr>
            <w:color w:val="0563C1"/>
          </w:rPr>
          <w:t xml:space="preserve"> </w:t>
        </w:r>
      </w:hyperlink>
    </w:p>
    <w:p w:rsidR="00130AB6" w:rsidRDefault="002C7D32">
      <w:pPr>
        <w:spacing w:after="180" w:line="259" w:lineRule="auto"/>
        <w:ind w:left="0" w:right="0" w:firstLine="0"/>
        <w:jc w:val="left"/>
      </w:pPr>
      <w:r>
        <w:rPr>
          <w:color w:val="212121"/>
        </w:rPr>
        <w:t xml:space="preserve"> </w:t>
      </w:r>
    </w:p>
    <w:p w:rsidR="00130AB6" w:rsidRDefault="002C7D32">
      <w:pPr>
        <w:numPr>
          <w:ilvl w:val="0"/>
          <w:numId w:val="4"/>
        </w:numPr>
        <w:spacing w:after="201" w:line="240" w:lineRule="auto"/>
        <w:ind w:right="167" w:hanging="403"/>
        <w:jc w:val="left"/>
      </w:pPr>
      <w:r w:rsidRPr="00E06D62">
        <w:rPr>
          <w:color w:val="212121"/>
          <w:lang w:val="en-US"/>
        </w:rPr>
        <w:t xml:space="preserve">Fuchs V, </w:t>
      </w:r>
      <w:proofErr w:type="spellStart"/>
      <w:r w:rsidRPr="00E06D62">
        <w:rPr>
          <w:color w:val="212121"/>
          <w:lang w:val="en-US"/>
        </w:rPr>
        <w:t>Kurppa</w:t>
      </w:r>
      <w:proofErr w:type="spellEnd"/>
      <w:r w:rsidRPr="00E06D62">
        <w:rPr>
          <w:color w:val="212121"/>
          <w:lang w:val="en-US"/>
        </w:rPr>
        <w:t xml:space="preserve"> K, </w:t>
      </w:r>
      <w:proofErr w:type="spellStart"/>
      <w:r w:rsidRPr="00E06D62">
        <w:rPr>
          <w:color w:val="212121"/>
          <w:lang w:val="en-US"/>
        </w:rPr>
        <w:t>Huhtala</w:t>
      </w:r>
      <w:proofErr w:type="spellEnd"/>
      <w:r w:rsidRPr="00E06D62">
        <w:rPr>
          <w:color w:val="212121"/>
          <w:lang w:val="en-US"/>
        </w:rPr>
        <w:t xml:space="preserve"> H, </w:t>
      </w:r>
      <w:proofErr w:type="spellStart"/>
      <w:r w:rsidRPr="00E06D62">
        <w:rPr>
          <w:color w:val="212121"/>
          <w:lang w:val="en-US"/>
        </w:rPr>
        <w:t>Mäki</w:t>
      </w:r>
      <w:proofErr w:type="spellEnd"/>
      <w:r w:rsidRPr="00E06D62">
        <w:rPr>
          <w:color w:val="212121"/>
          <w:lang w:val="en-US"/>
        </w:rPr>
        <w:t xml:space="preserve"> M, Kekkonen L, </w:t>
      </w:r>
      <w:proofErr w:type="spellStart"/>
      <w:r w:rsidRPr="00E06D62">
        <w:rPr>
          <w:color w:val="212121"/>
          <w:lang w:val="en-US"/>
        </w:rPr>
        <w:t>Kaukinen</w:t>
      </w:r>
      <w:proofErr w:type="spellEnd"/>
      <w:r w:rsidRPr="00E06D62">
        <w:rPr>
          <w:color w:val="212121"/>
          <w:lang w:val="en-US"/>
        </w:rPr>
        <w:t xml:space="preserve"> K. Delayed celiac disease diagnosis predisposes to reduced quality of life and incremental use of health care services and medicines: A prospective nationwide study. </w:t>
      </w:r>
      <w:r>
        <w:rPr>
          <w:color w:val="212121"/>
        </w:rPr>
        <w:t xml:space="preserve">United </w:t>
      </w:r>
      <w:proofErr w:type="spellStart"/>
      <w:r>
        <w:rPr>
          <w:color w:val="212121"/>
        </w:rPr>
        <w:t>European</w:t>
      </w:r>
      <w:proofErr w:type="spellEnd"/>
      <w:r>
        <w:rPr>
          <w:color w:val="212121"/>
        </w:rPr>
        <w:t xml:space="preserve"> </w:t>
      </w:r>
      <w:proofErr w:type="spellStart"/>
      <w:r>
        <w:rPr>
          <w:color w:val="212121"/>
        </w:rPr>
        <w:t>Gastroenterol</w:t>
      </w:r>
      <w:proofErr w:type="spellEnd"/>
      <w:r>
        <w:rPr>
          <w:color w:val="212121"/>
        </w:rPr>
        <w:t xml:space="preserve"> J</w:t>
      </w:r>
      <w:r>
        <w:rPr>
          <w:color w:val="212121"/>
        </w:rPr>
        <w:t xml:space="preserve"> [Internet]. 2018. Acesso em: [2 ago. 2023]</w:t>
      </w:r>
      <w:r>
        <w:t>;</w:t>
      </w:r>
      <w:r>
        <w:rPr>
          <w:color w:val="212121"/>
        </w:rPr>
        <w:t xml:space="preserve">6(4):567-75. Disponível em: </w:t>
      </w:r>
      <w:hyperlink r:id="rId79">
        <w:r>
          <w:rPr>
            <w:color w:val="0563C1"/>
            <w:u w:val="single" w:color="0563C1"/>
          </w:rPr>
          <w:t>https://doi.org/10.1177/2050640617751253</w:t>
        </w:r>
      </w:hyperlink>
      <w:hyperlink r:id="rId80">
        <w:r>
          <w:rPr>
            <w:color w:val="0563C1"/>
          </w:rPr>
          <w:t xml:space="preserve"> </w:t>
        </w:r>
      </w:hyperlink>
    </w:p>
    <w:p w:rsidR="00130AB6" w:rsidRDefault="002C7D32">
      <w:pPr>
        <w:spacing w:after="178" w:line="259" w:lineRule="auto"/>
        <w:ind w:left="0" w:right="0" w:firstLine="0"/>
        <w:jc w:val="left"/>
      </w:pPr>
      <w:r>
        <w:lastRenderedPageBreak/>
        <w:t xml:space="preserve"> </w:t>
      </w:r>
    </w:p>
    <w:p w:rsidR="00130AB6" w:rsidRDefault="002C7D32">
      <w:pPr>
        <w:numPr>
          <w:ilvl w:val="0"/>
          <w:numId w:val="4"/>
        </w:numPr>
        <w:spacing w:after="1" w:line="240" w:lineRule="auto"/>
        <w:ind w:right="167" w:hanging="403"/>
        <w:jc w:val="left"/>
      </w:pPr>
      <w:r w:rsidRPr="00E06D62">
        <w:rPr>
          <w:lang w:val="en-US"/>
        </w:rPr>
        <w:t>Kotze LM. Celiac dis</w:t>
      </w:r>
      <w:r w:rsidRPr="00E06D62">
        <w:rPr>
          <w:lang w:val="en-US"/>
        </w:rPr>
        <w:t xml:space="preserve">ease in Brazilian patients: associations, complications and causes of death. </w:t>
      </w:r>
      <w:proofErr w:type="spellStart"/>
      <w:r>
        <w:t>Forty</w:t>
      </w:r>
      <w:proofErr w:type="spellEnd"/>
      <w:r>
        <w:t xml:space="preserve"> </w:t>
      </w:r>
      <w:proofErr w:type="spellStart"/>
      <w:r>
        <w:t>years</w:t>
      </w:r>
      <w:proofErr w:type="spellEnd"/>
      <w:r>
        <w:t xml:space="preserve"> </w:t>
      </w:r>
      <w:proofErr w:type="spellStart"/>
      <w:r>
        <w:t>of</w:t>
      </w:r>
      <w:proofErr w:type="spellEnd"/>
      <w:r>
        <w:t xml:space="preserve"> </w:t>
      </w:r>
      <w:proofErr w:type="spellStart"/>
      <w:r>
        <w:t>clinical</w:t>
      </w:r>
      <w:proofErr w:type="spellEnd"/>
      <w:r>
        <w:t xml:space="preserve"> </w:t>
      </w:r>
      <w:proofErr w:type="spellStart"/>
      <w:r>
        <w:t>experience</w:t>
      </w:r>
      <w:proofErr w:type="spellEnd"/>
      <w:r>
        <w:t xml:space="preserve">. </w:t>
      </w:r>
      <w:proofErr w:type="spellStart"/>
      <w:r>
        <w:t>Arq</w:t>
      </w:r>
      <w:proofErr w:type="spellEnd"/>
      <w:r>
        <w:t xml:space="preserve"> </w:t>
      </w:r>
      <w:proofErr w:type="spellStart"/>
      <w:r>
        <w:t>Gastroenterol</w:t>
      </w:r>
      <w:proofErr w:type="spellEnd"/>
      <w:r>
        <w:t xml:space="preserve"> [Internet]. </w:t>
      </w:r>
    </w:p>
    <w:p w:rsidR="00130AB6" w:rsidRDefault="002C7D32">
      <w:pPr>
        <w:spacing w:after="189" w:line="250" w:lineRule="auto"/>
        <w:ind w:left="-5" w:right="0"/>
        <w:jc w:val="left"/>
      </w:pPr>
      <w:r>
        <w:t xml:space="preserve">2009. </w:t>
      </w:r>
      <w:r>
        <w:rPr>
          <w:color w:val="212121"/>
        </w:rPr>
        <w:t>Acesso em: [13 jul. 2023]</w:t>
      </w:r>
      <w:r>
        <w:t xml:space="preserve">; 46(4):261–9. Disponível em: </w:t>
      </w:r>
      <w:hyperlink r:id="rId81">
        <w:r>
          <w:rPr>
            <w:color w:val="0563C1"/>
            <w:u w:val="single" w:color="0563C1"/>
          </w:rPr>
          <w:t>https://doi.org/10.1590/S0004</w:t>
        </w:r>
      </w:hyperlink>
      <w:hyperlink r:id="rId82">
        <w:r>
          <w:rPr>
            <w:color w:val="0563C1"/>
            <w:u w:val="single" w:color="0563C1"/>
          </w:rPr>
          <w:t>-</w:t>
        </w:r>
      </w:hyperlink>
      <w:hyperlink r:id="rId83">
        <w:r>
          <w:rPr>
            <w:color w:val="0563C1"/>
            <w:u w:val="single" w:color="0563C1"/>
          </w:rPr>
          <w:t>28032009000400004</w:t>
        </w:r>
      </w:hyperlink>
      <w:hyperlink r:id="rId84">
        <w:r>
          <w:rPr>
            <w:color w:val="0563C1"/>
          </w:rPr>
          <w:t xml:space="preserve"> </w:t>
        </w:r>
      </w:hyperlink>
    </w:p>
    <w:p w:rsidR="00130AB6" w:rsidRDefault="002C7D32">
      <w:pPr>
        <w:spacing w:after="180" w:line="259" w:lineRule="auto"/>
        <w:ind w:left="0" w:right="0" w:firstLine="0"/>
        <w:jc w:val="left"/>
      </w:pPr>
      <w:r>
        <w:t xml:space="preserve"> </w:t>
      </w:r>
    </w:p>
    <w:p w:rsidR="00130AB6" w:rsidRDefault="002C7D32">
      <w:pPr>
        <w:spacing w:after="200" w:line="240" w:lineRule="auto"/>
        <w:ind w:left="-5" w:right="162"/>
        <w:jc w:val="left"/>
      </w:pPr>
      <w:r>
        <w:t xml:space="preserve">25. Araújo HM, Araújo WM, Botelho RB, </w:t>
      </w:r>
      <w:proofErr w:type="spellStart"/>
      <w:r>
        <w:t>Zandonadi</w:t>
      </w:r>
      <w:proofErr w:type="spellEnd"/>
      <w:r>
        <w:t xml:space="preserve"> RP. Doença celíaca, hábitos e práticas alimentares e qualidade de vida. </w:t>
      </w:r>
      <w:proofErr w:type="spellStart"/>
      <w:r>
        <w:t>Rev</w:t>
      </w:r>
      <w:proofErr w:type="spellEnd"/>
      <w:r>
        <w:t xml:space="preserve"> </w:t>
      </w:r>
      <w:proofErr w:type="spellStart"/>
      <w:r>
        <w:t>Nutr</w:t>
      </w:r>
      <w:proofErr w:type="spellEnd"/>
      <w:r>
        <w:t xml:space="preserve"> [Internet]. 2010. </w:t>
      </w:r>
      <w:r>
        <w:rPr>
          <w:color w:val="212121"/>
        </w:rPr>
        <w:t>Acesso em: [7 jul. 2023]</w:t>
      </w:r>
      <w:r>
        <w:t xml:space="preserve">;23(3):467–74. Disponível em: </w:t>
      </w:r>
      <w:hyperlink r:id="rId85">
        <w:r>
          <w:rPr>
            <w:color w:val="0563C1"/>
            <w:u w:val="single" w:color="0563C1"/>
          </w:rPr>
          <w:t>https://doi.org/10.1590/S1415</w:t>
        </w:r>
      </w:hyperlink>
      <w:hyperlink r:id="rId86"/>
      <w:hyperlink r:id="rId87">
        <w:r>
          <w:rPr>
            <w:color w:val="0563C1"/>
            <w:u w:val="single" w:color="0563C1"/>
          </w:rPr>
          <w:t>52732010000300014</w:t>
        </w:r>
      </w:hyperlink>
      <w:hyperlink r:id="rId88">
        <w:r>
          <w:rPr>
            <w:color w:val="0563C1"/>
          </w:rPr>
          <w:t xml:space="preserve"> </w:t>
        </w:r>
      </w:hyperlink>
    </w:p>
    <w:p w:rsidR="00130AB6" w:rsidRDefault="002C7D32">
      <w:pPr>
        <w:spacing w:after="0" w:line="259" w:lineRule="auto"/>
        <w:ind w:left="0" w:right="0" w:firstLine="0"/>
        <w:jc w:val="left"/>
      </w:pPr>
      <w:r>
        <w:rPr>
          <w:color w:val="0563C1"/>
        </w:rPr>
        <w:t xml:space="preserve"> </w:t>
      </w:r>
    </w:p>
    <w:p w:rsidR="00130AB6" w:rsidRDefault="002C7D32">
      <w:pPr>
        <w:pStyle w:val="Ttulo1"/>
        <w:numPr>
          <w:ilvl w:val="0"/>
          <w:numId w:val="0"/>
        </w:numPr>
        <w:spacing w:after="0"/>
        <w:ind w:left="1124" w:right="0"/>
      </w:pPr>
      <w:bookmarkStart w:id="27" w:name="_Toc59559"/>
      <w:r>
        <w:lastRenderedPageBreak/>
        <w:t xml:space="preserve">APÊNDICE A - Termo de Consentimento Livre e Esclarecido </w:t>
      </w:r>
      <w:bookmarkEnd w:id="27"/>
    </w:p>
    <w:p w:rsidR="00130AB6" w:rsidRDefault="002C7D32">
      <w:pPr>
        <w:spacing w:after="0" w:line="259" w:lineRule="auto"/>
        <w:ind w:left="-84" w:right="0" w:firstLine="0"/>
        <w:jc w:val="left"/>
      </w:pPr>
      <w:r>
        <w:rPr>
          <w:noProof/>
        </w:rPr>
        <w:drawing>
          <wp:inline distT="0" distB="0" distL="0" distR="0">
            <wp:extent cx="5497195" cy="8558657"/>
            <wp:effectExtent l="0" t="0" r="0" b="0"/>
            <wp:docPr id="7496" name="Picture 7496"/>
            <wp:cNvGraphicFramePr/>
            <a:graphic xmlns:a="http://schemas.openxmlformats.org/drawingml/2006/main">
              <a:graphicData uri="http://schemas.openxmlformats.org/drawingml/2006/picture">
                <pic:pic xmlns:pic="http://schemas.openxmlformats.org/drawingml/2006/picture">
                  <pic:nvPicPr>
                    <pic:cNvPr id="7496" name="Picture 7496"/>
                    <pic:cNvPicPr/>
                  </pic:nvPicPr>
                  <pic:blipFill>
                    <a:blip r:embed="rId89"/>
                    <a:stretch>
                      <a:fillRect/>
                    </a:stretch>
                  </pic:blipFill>
                  <pic:spPr>
                    <a:xfrm>
                      <a:off x="0" y="0"/>
                      <a:ext cx="5497195" cy="8558657"/>
                    </a:xfrm>
                    <a:prstGeom prst="rect">
                      <a:avLst/>
                    </a:prstGeom>
                  </pic:spPr>
                </pic:pic>
              </a:graphicData>
            </a:graphic>
          </wp:inline>
        </w:drawing>
      </w:r>
    </w:p>
    <w:p w:rsidR="00130AB6" w:rsidRDefault="002C7D32">
      <w:pPr>
        <w:pStyle w:val="Ttulo1"/>
        <w:numPr>
          <w:ilvl w:val="0"/>
          <w:numId w:val="0"/>
        </w:numPr>
        <w:spacing w:after="0"/>
        <w:ind w:left="1892" w:right="0"/>
      </w:pPr>
      <w:bookmarkStart w:id="28" w:name="_Toc59560"/>
      <w:r>
        <w:lastRenderedPageBreak/>
        <w:t xml:space="preserve">APÊNDICE B - Instrumento de coleta de dados </w:t>
      </w:r>
      <w:bookmarkEnd w:id="28"/>
    </w:p>
    <w:p w:rsidR="00130AB6" w:rsidRDefault="002C7D32">
      <w:pPr>
        <w:spacing w:after="0" w:line="259" w:lineRule="auto"/>
        <w:ind w:left="258" w:right="0" w:firstLine="0"/>
        <w:jc w:val="left"/>
      </w:pPr>
      <w:r>
        <w:rPr>
          <w:noProof/>
        </w:rPr>
        <w:drawing>
          <wp:inline distT="0" distB="0" distL="0" distR="0">
            <wp:extent cx="5431156" cy="8467725"/>
            <wp:effectExtent l="0" t="0" r="0" b="0"/>
            <wp:docPr id="7511" name="Picture 7511"/>
            <wp:cNvGraphicFramePr/>
            <a:graphic xmlns:a="http://schemas.openxmlformats.org/drawingml/2006/main">
              <a:graphicData uri="http://schemas.openxmlformats.org/drawingml/2006/picture">
                <pic:pic xmlns:pic="http://schemas.openxmlformats.org/drawingml/2006/picture">
                  <pic:nvPicPr>
                    <pic:cNvPr id="7511" name="Picture 7511"/>
                    <pic:cNvPicPr/>
                  </pic:nvPicPr>
                  <pic:blipFill>
                    <a:blip r:embed="rId90"/>
                    <a:stretch>
                      <a:fillRect/>
                    </a:stretch>
                  </pic:blipFill>
                  <pic:spPr>
                    <a:xfrm>
                      <a:off x="0" y="0"/>
                      <a:ext cx="5431156" cy="8467725"/>
                    </a:xfrm>
                    <a:prstGeom prst="rect">
                      <a:avLst/>
                    </a:prstGeom>
                  </pic:spPr>
                </pic:pic>
              </a:graphicData>
            </a:graphic>
          </wp:inline>
        </w:drawing>
      </w:r>
    </w:p>
    <w:p w:rsidR="00130AB6" w:rsidRDefault="002C7D32">
      <w:pPr>
        <w:spacing w:after="0" w:line="259" w:lineRule="auto"/>
        <w:ind w:left="-1" w:right="0" w:firstLine="0"/>
        <w:jc w:val="left"/>
      </w:pPr>
      <w:r>
        <w:rPr>
          <w:rFonts w:ascii="Calibri" w:eastAsia="Calibri" w:hAnsi="Calibri" w:cs="Calibri"/>
          <w:noProof/>
          <w:sz w:val="22"/>
        </w:rPr>
        <w:lastRenderedPageBreak/>
        <mc:AlternateContent>
          <mc:Choice Requires="wpg">
            <w:drawing>
              <wp:inline distT="0" distB="0" distL="0" distR="0">
                <wp:extent cx="5181600" cy="8876995"/>
                <wp:effectExtent l="0" t="0" r="0" b="0"/>
                <wp:docPr id="52672" name="Group 52672"/>
                <wp:cNvGraphicFramePr/>
                <a:graphic xmlns:a="http://schemas.openxmlformats.org/drawingml/2006/main">
                  <a:graphicData uri="http://schemas.microsoft.com/office/word/2010/wordprocessingGroup">
                    <wpg:wgp>
                      <wpg:cNvGrpSpPr/>
                      <wpg:grpSpPr>
                        <a:xfrm>
                          <a:off x="0" y="0"/>
                          <a:ext cx="5181600" cy="8876995"/>
                          <a:chOff x="0" y="0"/>
                          <a:chExt cx="5181600" cy="8876995"/>
                        </a:xfrm>
                      </wpg:grpSpPr>
                      <pic:pic xmlns:pic="http://schemas.openxmlformats.org/drawingml/2006/picture">
                        <pic:nvPicPr>
                          <pic:cNvPr id="7541" name="Picture 7541"/>
                          <pic:cNvPicPr/>
                        </pic:nvPicPr>
                        <pic:blipFill>
                          <a:blip r:embed="rId91"/>
                          <a:stretch>
                            <a:fillRect/>
                          </a:stretch>
                        </pic:blipFill>
                        <pic:spPr>
                          <a:xfrm>
                            <a:off x="213995" y="0"/>
                            <a:ext cx="4967605" cy="7277100"/>
                          </a:xfrm>
                          <a:prstGeom prst="rect">
                            <a:avLst/>
                          </a:prstGeom>
                        </pic:spPr>
                      </pic:pic>
                      <pic:pic xmlns:pic="http://schemas.openxmlformats.org/drawingml/2006/picture">
                        <pic:nvPicPr>
                          <pic:cNvPr id="7543" name="Picture 7543"/>
                          <pic:cNvPicPr/>
                        </pic:nvPicPr>
                        <pic:blipFill>
                          <a:blip r:embed="rId92"/>
                          <a:stretch>
                            <a:fillRect/>
                          </a:stretch>
                        </pic:blipFill>
                        <pic:spPr>
                          <a:xfrm>
                            <a:off x="0" y="7201865"/>
                            <a:ext cx="5159375" cy="1675130"/>
                          </a:xfrm>
                          <a:prstGeom prst="rect">
                            <a:avLst/>
                          </a:prstGeom>
                        </pic:spPr>
                      </pic:pic>
                    </wpg:wgp>
                  </a:graphicData>
                </a:graphic>
              </wp:inline>
            </w:drawing>
          </mc:Choice>
          <mc:Fallback xmlns:a="http://schemas.openxmlformats.org/drawingml/2006/main">
            <w:pict>
              <v:group id="Group 52672" style="width:408pt;height:698.976pt;mso-position-horizontal-relative:char;mso-position-vertical-relative:line" coordsize="51816,88769">
                <v:shape id="Picture 7541" style="position:absolute;width:49676;height:72771;left:2139;top:0;" filled="f">
                  <v:imagedata r:id="rId93"/>
                </v:shape>
                <v:shape id="Picture 7543" style="position:absolute;width:51593;height:16751;left:0;top:72018;" filled="f">
                  <v:imagedata r:id="rId94"/>
                </v:shape>
              </v:group>
            </w:pict>
          </mc:Fallback>
        </mc:AlternateContent>
      </w:r>
    </w:p>
    <w:p w:rsidR="00130AB6" w:rsidRDefault="002C7D32">
      <w:pPr>
        <w:pStyle w:val="Ttulo1"/>
        <w:numPr>
          <w:ilvl w:val="0"/>
          <w:numId w:val="0"/>
        </w:numPr>
        <w:spacing w:after="0" w:line="259" w:lineRule="auto"/>
        <w:ind w:left="10" w:right="806"/>
        <w:jc w:val="right"/>
      </w:pPr>
      <w:bookmarkStart w:id="29" w:name="_Toc59561"/>
      <w:r>
        <w:lastRenderedPageBreak/>
        <w:t xml:space="preserve">ANEXO A - Parecer consubstanciado do Comitê de Ética e Pesquisa </w:t>
      </w:r>
      <w:bookmarkEnd w:id="29"/>
    </w:p>
    <w:p w:rsidR="00130AB6" w:rsidRDefault="002C7D32">
      <w:pPr>
        <w:spacing w:after="9" w:line="259" w:lineRule="auto"/>
        <w:ind w:left="-342" w:right="0" w:firstLine="0"/>
        <w:jc w:val="left"/>
      </w:pPr>
      <w:r>
        <w:rPr>
          <w:noProof/>
        </w:rPr>
        <w:drawing>
          <wp:inline distT="0" distB="0" distL="0" distR="0">
            <wp:extent cx="5806440" cy="7012306"/>
            <wp:effectExtent l="0" t="0" r="0" b="0"/>
            <wp:docPr id="7565" name="Picture 7565"/>
            <wp:cNvGraphicFramePr/>
            <a:graphic xmlns:a="http://schemas.openxmlformats.org/drawingml/2006/main">
              <a:graphicData uri="http://schemas.openxmlformats.org/drawingml/2006/picture">
                <pic:pic xmlns:pic="http://schemas.openxmlformats.org/drawingml/2006/picture">
                  <pic:nvPicPr>
                    <pic:cNvPr id="7565" name="Picture 7565"/>
                    <pic:cNvPicPr/>
                  </pic:nvPicPr>
                  <pic:blipFill>
                    <a:blip r:embed="rId95"/>
                    <a:stretch>
                      <a:fillRect/>
                    </a:stretch>
                  </pic:blipFill>
                  <pic:spPr>
                    <a:xfrm>
                      <a:off x="0" y="0"/>
                      <a:ext cx="5806440" cy="7012306"/>
                    </a:xfrm>
                    <a:prstGeom prst="rect">
                      <a:avLst/>
                    </a:prstGeom>
                  </pic:spPr>
                </pic:pic>
              </a:graphicData>
            </a:graphic>
          </wp:inline>
        </w:drawing>
      </w:r>
    </w:p>
    <w:p w:rsidR="00130AB6" w:rsidRDefault="002C7D32">
      <w:pPr>
        <w:spacing w:after="0" w:line="259" w:lineRule="auto"/>
        <w:ind w:left="0" w:right="0" w:firstLine="0"/>
        <w:jc w:val="left"/>
      </w:pPr>
      <w:r>
        <w:rPr>
          <w:color w:val="222222"/>
        </w:rPr>
        <w:t xml:space="preserve"> </w:t>
      </w:r>
    </w:p>
    <w:p w:rsidR="00130AB6" w:rsidRDefault="002C7D32">
      <w:pPr>
        <w:spacing w:after="0" w:line="259" w:lineRule="auto"/>
        <w:ind w:left="-303" w:right="0" w:firstLine="0"/>
        <w:jc w:val="left"/>
      </w:pPr>
      <w:r>
        <w:rPr>
          <w:noProof/>
        </w:rPr>
        <w:drawing>
          <wp:inline distT="0" distB="0" distL="0" distR="0">
            <wp:extent cx="5880100" cy="929640"/>
            <wp:effectExtent l="0" t="0" r="0" b="0"/>
            <wp:docPr id="7567" name="Picture 7567"/>
            <wp:cNvGraphicFramePr/>
            <a:graphic xmlns:a="http://schemas.openxmlformats.org/drawingml/2006/main">
              <a:graphicData uri="http://schemas.openxmlformats.org/drawingml/2006/picture">
                <pic:pic xmlns:pic="http://schemas.openxmlformats.org/drawingml/2006/picture">
                  <pic:nvPicPr>
                    <pic:cNvPr id="7567" name="Picture 7567"/>
                    <pic:cNvPicPr/>
                  </pic:nvPicPr>
                  <pic:blipFill>
                    <a:blip r:embed="rId96"/>
                    <a:stretch>
                      <a:fillRect/>
                    </a:stretch>
                  </pic:blipFill>
                  <pic:spPr>
                    <a:xfrm>
                      <a:off x="0" y="0"/>
                      <a:ext cx="5880100" cy="929640"/>
                    </a:xfrm>
                    <a:prstGeom prst="rect">
                      <a:avLst/>
                    </a:prstGeom>
                  </pic:spPr>
                </pic:pic>
              </a:graphicData>
            </a:graphic>
          </wp:inline>
        </w:drawing>
      </w:r>
    </w:p>
    <w:p w:rsidR="00130AB6" w:rsidRDefault="002C7D32">
      <w:pPr>
        <w:spacing w:after="11" w:line="259" w:lineRule="auto"/>
        <w:ind w:left="-384" w:right="0" w:firstLine="0"/>
        <w:jc w:val="left"/>
      </w:pPr>
      <w:r>
        <w:rPr>
          <w:rFonts w:ascii="Calibri" w:eastAsia="Calibri" w:hAnsi="Calibri" w:cs="Calibri"/>
          <w:noProof/>
          <w:sz w:val="22"/>
        </w:rPr>
        <w:lastRenderedPageBreak/>
        <mc:AlternateContent>
          <mc:Choice Requires="wpg">
            <w:drawing>
              <wp:inline distT="0" distB="0" distL="0" distR="0">
                <wp:extent cx="5982335" cy="7291705"/>
                <wp:effectExtent l="0" t="0" r="0" b="0"/>
                <wp:docPr id="54045" name="Group 54045"/>
                <wp:cNvGraphicFramePr/>
                <a:graphic xmlns:a="http://schemas.openxmlformats.org/drawingml/2006/main">
                  <a:graphicData uri="http://schemas.microsoft.com/office/word/2010/wordprocessingGroup">
                    <wpg:wgp>
                      <wpg:cNvGrpSpPr/>
                      <wpg:grpSpPr>
                        <a:xfrm>
                          <a:off x="0" y="0"/>
                          <a:ext cx="5982335" cy="7291705"/>
                          <a:chOff x="0" y="0"/>
                          <a:chExt cx="5982335" cy="7291705"/>
                        </a:xfrm>
                      </wpg:grpSpPr>
                      <pic:pic xmlns:pic="http://schemas.openxmlformats.org/drawingml/2006/picture">
                        <pic:nvPicPr>
                          <pic:cNvPr id="7576" name="Picture 7576"/>
                          <pic:cNvPicPr/>
                        </pic:nvPicPr>
                        <pic:blipFill>
                          <a:blip r:embed="rId97"/>
                          <a:stretch>
                            <a:fillRect/>
                          </a:stretch>
                        </pic:blipFill>
                        <pic:spPr>
                          <a:xfrm>
                            <a:off x="0" y="0"/>
                            <a:ext cx="5880101" cy="5154930"/>
                          </a:xfrm>
                          <a:prstGeom prst="rect">
                            <a:avLst/>
                          </a:prstGeom>
                        </pic:spPr>
                      </pic:pic>
                      <pic:pic xmlns:pic="http://schemas.openxmlformats.org/drawingml/2006/picture">
                        <pic:nvPicPr>
                          <pic:cNvPr id="7578" name="Picture 7578"/>
                          <pic:cNvPicPr/>
                        </pic:nvPicPr>
                        <pic:blipFill>
                          <a:blip r:embed="rId98"/>
                          <a:stretch>
                            <a:fillRect/>
                          </a:stretch>
                        </pic:blipFill>
                        <pic:spPr>
                          <a:xfrm>
                            <a:off x="16510" y="5114925"/>
                            <a:ext cx="5965825" cy="2176780"/>
                          </a:xfrm>
                          <a:prstGeom prst="rect">
                            <a:avLst/>
                          </a:prstGeom>
                        </pic:spPr>
                      </pic:pic>
                    </wpg:wgp>
                  </a:graphicData>
                </a:graphic>
              </wp:inline>
            </w:drawing>
          </mc:Choice>
          <mc:Fallback xmlns:a="http://schemas.openxmlformats.org/drawingml/2006/main">
            <w:pict>
              <v:group id="Group 54045" style="width:471.05pt;height:574.15pt;mso-position-horizontal-relative:char;mso-position-vertical-relative:line" coordsize="59823,72917">
                <v:shape id="Picture 7576" style="position:absolute;width:58801;height:51549;left:0;top:0;" filled="f">
                  <v:imagedata r:id="rId99"/>
                </v:shape>
                <v:shape id="Picture 7578" style="position:absolute;width:59658;height:21767;left:165;top:51149;" filled="f">
                  <v:imagedata r:id="rId100"/>
                </v:shape>
              </v:group>
            </w:pict>
          </mc:Fallback>
        </mc:AlternateContent>
      </w:r>
    </w:p>
    <w:p w:rsidR="00130AB6" w:rsidRDefault="002C7D32">
      <w:pPr>
        <w:spacing w:after="0" w:line="259" w:lineRule="auto"/>
        <w:ind w:left="0" w:right="4633" w:firstLine="0"/>
        <w:jc w:val="right"/>
      </w:pPr>
      <w:r>
        <w:rPr>
          <w:b/>
          <w:sz w:val="28"/>
        </w:rPr>
        <w:t xml:space="preserve"> </w:t>
      </w:r>
    </w:p>
    <w:p w:rsidR="00130AB6" w:rsidRDefault="002C7D32">
      <w:pPr>
        <w:spacing w:after="10" w:line="259" w:lineRule="auto"/>
        <w:ind w:left="-626" w:right="-445" w:firstLine="0"/>
        <w:jc w:val="left"/>
      </w:pPr>
      <w:r>
        <w:rPr>
          <w:noProof/>
        </w:rPr>
        <w:drawing>
          <wp:inline distT="0" distB="0" distL="0" distR="0">
            <wp:extent cx="6552565" cy="826770"/>
            <wp:effectExtent l="0" t="0" r="0" b="0"/>
            <wp:docPr id="7580" name="Picture 7580"/>
            <wp:cNvGraphicFramePr/>
            <a:graphic xmlns:a="http://schemas.openxmlformats.org/drawingml/2006/main">
              <a:graphicData uri="http://schemas.openxmlformats.org/drawingml/2006/picture">
                <pic:pic xmlns:pic="http://schemas.openxmlformats.org/drawingml/2006/picture">
                  <pic:nvPicPr>
                    <pic:cNvPr id="7580" name="Picture 7580"/>
                    <pic:cNvPicPr/>
                  </pic:nvPicPr>
                  <pic:blipFill>
                    <a:blip r:embed="rId101"/>
                    <a:stretch>
                      <a:fillRect/>
                    </a:stretch>
                  </pic:blipFill>
                  <pic:spPr>
                    <a:xfrm>
                      <a:off x="0" y="0"/>
                      <a:ext cx="6552565" cy="826770"/>
                    </a:xfrm>
                    <a:prstGeom prst="rect">
                      <a:avLst/>
                    </a:prstGeom>
                  </pic:spPr>
                </pic:pic>
              </a:graphicData>
            </a:graphic>
          </wp:inline>
        </w:drawing>
      </w:r>
    </w:p>
    <w:p w:rsidR="00130AB6" w:rsidRDefault="002C7D32">
      <w:pPr>
        <w:spacing w:after="0" w:line="259" w:lineRule="auto"/>
        <w:ind w:left="0" w:right="0" w:firstLine="0"/>
        <w:jc w:val="left"/>
      </w:pPr>
      <w:r>
        <w:rPr>
          <w:color w:val="212121"/>
        </w:rPr>
        <w:t xml:space="preserve"> </w:t>
      </w:r>
    </w:p>
    <w:p w:rsidR="00130AB6" w:rsidRDefault="002C7D32">
      <w:pPr>
        <w:spacing w:after="11" w:line="259" w:lineRule="auto"/>
        <w:ind w:left="-309" w:right="0" w:firstLine="0"/>
        <w:jc w:val="left"/>
      </w:pPr>
      <w:r>
        <w:rPr>
          <w:rFonts w:ascii="Calibri" w:eastAsia="Calibri" w:hAnsi="Calibri" w:cs="Calibri"/>
          <w:noProof/>
          <w:sz w:val="22"/>
        </w:rPr>
        <w:lastRenderedPageBreak/>
        <mc:AlternateContent>
          <mc:Choice Requires="wpg">
            <w:drawing>
              <wp:inline distT="0" distB="0" distL="0" distR="0">
                <wp:extent cx="5786755" cy="8876030"/>
                <wp:effectExtent l="0" t="0" r="0" b="0"/>
                <wp:docPr id="54033" name="Group 54033"/>
                <wp:cNvGraphicFramePr/>
                <a:graphic xmlns:a="http://schemas.openxmlformats.org/drawingml/2006/main">
                  <a:graphicData uri="http://schemas.microsoft.com/office/word/2010/wordprocessingGroup">
                    <wpg:wgp>
                      <wpg:cNvGrpSpPr/>
                      <wpg:grpSpPr>
                        <a:xfrm>
                          <a:off x="0" y="0"/>
                          <a:ext cx="5786755" cy="8876030"/>
                          <a:chOff x="0" y="0"/>
                          <a:chExt cx="5786755" cy="8876030"/>
                        </a:xfrm>
                      </wpg:grpSpPr>
                      <pic:pic xmlns:pic="http://schemas.openxmlformats.org/drawingml/2006/picture">
                        <pic:nvPicPr>
                          <pic:cNvPr id="7588" name="Picture 7588"/>
                          <pic:cNvPicPr/>
                        </pic:nvPicPr>
                        <pic:blipFill>
                          <a:blip r:embed="rId102"/>
                          <a:stretch>
                            <a:fillRect/>
                          </a:stretch>
                        </pic:blipFill>
                        <pic:spPr>
                          <a:xfrm>
                            <a:off x="6350" y="0"/>
                            <a:ext cx="5778501" cy="3704590"/>
                          </a:xfrm>
                          <a:prstGeom prst="rect">
                            <a:avLst/>
                          </a:prstGeom>
                        </pic:spPr>
                      </pic:pic>
                      <pic:pic xmlns:pic="http://schemas.openxmlformats.org/drawingml/2006/picture">
                        <pic:nvPicPr>
                          <pic:cNvPr id="7590" name="Picture 7590"/>
                          <pic:cNvPicPr/>
                        </pic:nvPicPr>
                        <pic:blipFill>
                          <a:blip r:embed="rId103"/>
                          <a:stretch>
                            <a:fillRect/>
                          </a:stretch>
                        </pic:blipFill>
                        <pic:spPr>
                          <a:xfrm>
                            <a:off x="0" y="3364865"/>
                            <a:ext cx="5786755" cy="5511165"/>
                          </a:xfrm>
                          <a:prstGeom prst="rect">
                            <a:avLst/>
                          </a:prstGeom>
                        </pic:spPr>
                      </pic:pic>
                    </wpg:wgp>
                  </a:graphicData>
                </a:graphic>
              </wp:inline>
            </w:drawing>
          </mc:Choice>
          <mc:Fallback xmlns:a="http://schemas.openxmlformats.org/drawingml/2006/main">
            <w:pict>
              <v:group id="Group 54033" style="width:455.65pt;height:698.9pt;mso-position-horizontal-relative:char;mso-position-vertical-relative:line" coordsize="57867,88760">
                <v:shape id="Picture 7588" style="position:absolute;width:57785;height:37045;left:63;top:0;" filled="f">
                  <v:imagedata r:id="rId104"/>
                </v:shape>
                <v:shape id="Picture 7590" style="position:absolute;width:57867;height:55111;left:0;top:33648;" filled="f">
                  <v:imagedata r:id="rId105"/>
                </v:shape>
              </v:group>
            </w:pict>
          </mc:Fallback>
        </mc:AlternateContent>
      </w:r>
    </w:p>
    <w:p w:rsidR="00130AB6" w:rsidRDefault="002C7D32">
      <w:pPr>
        <w:spacing w:after="0" w:line="259" w:lineRule="auto"/>
        <w:ind w:left="0" w:right="0" w:firstLine="0"/>
      </w:pPr>
      <w:r>
        <w:rPr>
          <w:color w:val="212121"/>
        </w:rPr>
        <w:lastRenderedPageBreak/>
        <w:t xml:space="preserve"> </w:t>
      </w:r>
    </w:p>
    <w:p w:rsidR="00130AB6" w:rsidRDefault="002C7D32">
      <w:pPr>
        <w:spacing w:after="17" w:line="259" w:lineRule="auto"/>
        <w:ind w:left="-84" w:right="0" w:firstLine="0"/>
        <w:jc w:val="left"/>
      </w:pPr>
      <w:r>
        <w:rPr>
          <w:rFonts w:ascii="Calibri" w:eastAsia="Calibri" w:hAnsi="Calibri" w:cs="Calibri"/>
          <w:noProof/>
          <w:sz w:val="22"/>
        </w:rPr>
        <mc:AlternateContent>
          <mc:Choice Requires="wpg">
            <w:drawing>
              <wp:inline distT="0" distB="0" distL="0" distR="0">
                <wp:extent cx="5568315" cy="8830945"/>
                <wp:effectExtent l="0" t="0" r="0" b="0"/>
                <wp:docPr id="53939" name="Group 53939"/>
                <wp:cNvGraphicFramePr/>
                <a:graphic xmlns:a="http://schemas.openxmlformats.org/drawingml/2006/main">
                  <a:graphicData uri="http://schemas.microsoft.com/office/word/2010/wordprocessingGroup">
                    <wpg:wgp>
                      <wpg:cNvGrpSpPr/>
                      <wpg:grpSpPr>
                        <a:xfrm>
                          <a:off x="0" y="0"/>
                          <a:ext cx="5568315" cy="8830945"/>
                          <a:chOff x="0" y="0"/>
                          <a:chExt cx="5568315" cy="8830945"/>
                        </a:xfrm>
                      </wpg:grpSpPr>
                      <pic:pic xmlns:pic="http://schemas.openxmlformats.org/drawingml/2006/picture">
                        <pic:nvPicPr>
                          <pic:cNvPr id="7609" name="Picture 7609"/>
                          <pic:cNvPicPr/>
                        </pic:nvPicPr>
                        <pic:blipFill>
                          <a:blip r:embed="rId106"/>
                          <a:stretch>
                            <a:fillRect/>
                          </a:stretch>
                        </pic:blipFill>
                        <pic:spPr>
                          <a:xfrm>
                            <a:off x="0" y="0"/>
                            <a:ext cx="5499101" cy="5762625"/>
                          </a:xfrm>
                          <a:prstGeom prst="rect">
                            <a:avLst/>
                          </a:prstGeom>
                        </pic:spPr>
                      </pic:pic>
                      <pic:pic xmlns:pic="http://schemas.openxmlformats.org/drawingml/2006/picture">
                        <pic:nvPicPr>
                          <pic:cNvPr id="7611" name="Picture 7611"/>
                          <pic:cNvPicPr/>
                        </pic:nvPicPr>
                        <pic:blipFill>
                          <a:blip r:embed="rId107"/>
                          <a:stretch>
                            <a:fillRect/>
                          </a:stretch>
                        </pic:blipFill>
                        <pic:spPr>
                          <a:xfrm>
                            <a:off x="26670" y="5768340"/>
                            <a:ext cx="5541645" cy="3062605"/>
                          </a:xfrm>
                          <a:prstGeom prst="rect">
                            <a:avLst/>
                          </a:prstGeom>
                        </pic:spPr>
                      </pic:pic>
                    </wpg:wgp>
                  </a:graphicData>
                </a:graphic>
              </wp:inline>
            </w:drawing>
          </mc:Choice>
          <mc:Fallback xmlns:a="http://schemas.openxmlformats.org/drawingml/2006/main">
            <w:pict>
              <v:group id="Group 53939" style="width:438.45pt;height:695.35pt;mso-position-horizontal-relative:char;mso-position-vertical-relative:line" coordsize="55683,88309">
                <v:shape id="Picture 7609" style="position:absolute;width:54991;height:57626;left:0;top:0;" filled="f">
                  <v:imagedata r:id="rId108"/>
                </v:shape>
                <v:shape id="Picture 7611" style="position:absolute;width:55416;height:30626;left:266;top:57683;" filled="f">
                  <v:imagedata r:id="rId109"/>
                </v:shape>
              </v:group>
            </w:pict>
          </mc:Fallback>
        </mc:AlternateContent>
      </w:r>
    </w:p>
    <w:p w:rsidR="00130AB6" w:rsidRDefault="002C7D32">
      <w:pPr>
        <w:spacing w:after="0" w:line="259" w:lineRule="auto"/>
        <w:ind w:left="0" w:right="0" w:firstLine="0"/>
      </w:pPr>
      <w:r>
        <w:rPr>
          <w:color w:val="212121"/>
        </w:rPr>
        <w:lastRenderedPageBreak/>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r>
        <w:rPr>
          <w:color w:val="212121"/>
        </w:rPr>
        <w:tab/>
        <w:t xml:space="preserve"> </w:t>
      </w:r>
    </w:p>
    <w:sectPr w:rsidR="00130AB6">
      <w:headerReference w:type="even" r:id="rId110"/>
      <w:headerReference w:type="default" r:id="rId111"/>
      <w:headerReference w:type="first" r:id="rId112"/>
      <w:pgSz w:w="11906" w:h="16838"/>
      <w:pgMar w:top="1701" w:right="956" w:bottom="881" w:left="1702" w:header="11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D32" w:rsidRDefault="002C7D32">
      <w:pPr>
        <w:spacing w:after="0" w:line="240" w:lineRule="auto"/>
      </w:pPr>
      <w:r>
        <w:separator/>
      </w:r>
    </w:p>
  </w:endnote>
  <w:endnote w:type="continuationSeparator" w:id="0">
    <w:p w:rsidR="002C7D32" w:rsidRDefault="002C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D32" w:rsidRDefault="002C7D32">
      <w:pPr>
        <w:spacing w:after="0" w:line="240" w:lineRule="auto"/>
      </w:pPr>
      <w:r>
        <w:separator/>
      </w:r>
    </w:p>
  </w:footnote>
  <w:footnote w:type="continuationSeparator" w:id="0">
    <w:p w:rsidR="002C7D32" w:rsidRDefault="002C7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130AB6">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130AB6">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130AB6">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2C7D32">
    <w:pPr>
      <w:spacing w:after="5" w:line="259" w:lineRule="auto"/>
      <w:ind w:left="0" w:right="174"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130AB6" w:rsidRDefault="002C7D32">
    <w:pPr>
      <w:spacing w:after="0" w:line="259" w:lineRule="auto"/>
      <w:ind w:left="0" w:right="125" w:firstLine="0"/>
      <w:jc w:val="righ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2C7D32">
    <w:pPr>
      <w:spacing w:after="5" w:line="259" w:lineRule="auto"/>
      <w:ind w:left="0" w:right="174"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130AB6" w:rsidRDefault="002C7D32">
    <w:pPr>
      <w:spacing w:after="0" w:line="259" w:lineRule="auto"/>
      <w:ind w:left="0" w:right="125" w:firstLine="0"/>
      <w:jc w:val="righ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AB6" w:rsidRDefault="002C7D32">
    <w:pPr>
      <w:spacing w:after="5" w:line="259" w:lineRule="auto"/>
      <w:ind w:left="0" w:right="174" w:firstLine="0"/>
      <w:jc w:val="right"/>
    </w:pPr>
    <w:r>
      <w:fldChar w:fldCharType="begin"/>
    </w:r>
    <w:r>
      <w:instrText xml:space="preserve"> PAGE   \* MERGEFORMAT </w:instrText>
    </w:r>
    <w:r>
      <w:fldChar w:fldCharType="separate"/>
    </w:r>
    <w:r>
      <w:rPr>
        <w:sz w:val="20"/>
      </w:rPr>
      <w:t>6</w:t>
    </w:r>
    <w:r>
      <w:rPr>
        <w:sz w:val="20"/>
      </w:rPr>
      <w:fldChar w:fldCharType="end"/>
    </w:r>
    <w:r>
      <w:rPr>
        <w:sz w:val="20"/>
      </w:rPr>
      <w:t xml:space="preserve"> </w:t>
    </w:r>
  </w:p>
  <w:p w:rsidR="00130AB6" w:rsidRDefault="002C7D32">
    <w:pPr>
      <w:spacing w:after="0" w:line="259" w:lineRule="auto"/>
      <w:ind w:left="0" w:right="125" w:firstLine="0"/>
      <w:jc w:val="righ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54B77"/>
    <w:multiLevelType w:val="hybridMultilevel"/>
    <w:tmpl w:val="ABBCDC48"/>
    <w:lvl w:ilvl="0" w:tplc="50E02B8C">
      <w:start w:val="18"/>
      <w:numFmt w:val="decimal"/>
      <w:lvlText w:val="%1."/>
      <w:lvlJc w:val="left"/>
      <w:pPr>
        <w:ind w:left="403"/>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F68AA6AE">
      <w:start w:val="1"/>
      <w:numFmt w:val="lowerLetter"/>
      <w:lvlText w:val="%2"/>
      <w:lvlJc w:val="left"/>
      <w:pPr>
        <w:ind w:left="10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2" w:tplc="E50CA5F6">
      <w:start w:val="1"/>
      <w:numFmt w:val="lowerRoman"/>
      <w:lvlText w:val="%3"/>
      <w:lvlJc w:val="left"/>
      <w:pPr>
        <w:ind w:left="180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3" w:tplc="81CACA1E">
      <w:start w:val="1"/>
      <w:numFmt w:val="decimal"/>
      <w:lvlText w:val="%4"/>
      <w:lvlJc w:val="left"/>
      <w:pPr>
        <w:ind w:left="252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7FC41A70">
      <w:start w:val="1"/>
      <w:numFmt w:val="lowerLetter"/>
      <w:lvlText w:val="%5"/>
      <w:lvlJc w:val="left"/>
      <w:pPr>
        <w:ind w:left="324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5" w:tplc="9B9AD63A">
      <w:start w:val="1"/>
      <w:numFmt w:val="lowerRoman"/>
      <w:lvlText w:val="%6"/>
      <w:lvlJc w:val="left"/>
      <w:pPr>
        <w:ind w:left="396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6" w:tplc="078A82D8">
      <w:start w:val="1"/>
      <w:numFmt w:val="decimal"/>
      <w:lvlText w:val="%7"/>
      <w:lvlJc w:val="left"/>
      <w:pPr>
        <w:ind w:left="468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3B1E579C">
      <w:start w:val="1"/>
      <w:numFmt w:val="lowerLetter"/>
      <w:lvlText w:val="%8"/>
      <w:lvlJc w:val="left"/>
      <w:pPr>
        <w:ind w:left="540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8" w:tplc="72D24FF8">
      <w:start w:val="1"/>
      <w:numFmt w:val="lowerRoman"/>
      <w:lvlText w:val="%9"/>
      <w:lvlJc w:val="left"/>
      <w:pPr>
        <w:ind w:left="6120"/>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abstractNum>
  <w:abstractNum w:abstractNumId="1" w15:restartNumberingAfterBreak="0">
    <w:nsid w:val="2A39013D"/>
    <w:multiLevelType w:val="multilevel"/>
    <w:tmpl w:val="77FC5C32"/>
    <w:lvl w:ilvl="0">
      <w:start w:val="1"/>
      <w:numFmt w:val="decimal"/>
      <w:pStyle w:val="Ttulo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D787C21"/>
    <w:multiLevelType w:val="hybridMultilevel"/>
    <w:tmpl w:val="BF0EF40E"/>
    <w:lvl w:ilvl="0" w:tplc="436C048E">
      <w:start w:val="6"/>
      <w:numFmt w:val="decimal"/>
      <w:lvlText w:val="%1."/>
      <w:lvlJc w:val="left"/>
      <w:pPr>
        <w:ind w:left="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EE7F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CB3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AA0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205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28B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6A23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1631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0C0C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1C86E65"/>
    <w:multiLevelType w:val="hybridMultilevel"/>
    <w:tmpl w:val="C0DA174A"/>
    <w:lvl w:ilvl="0" w:tplc="C87CCD3E">
      <w:start w:val="1"/>
      <w:numFmt w:val="decimal"/>
      <w:lvlText w:val="%1."/>
      <w:lvlJc w:val="left"/>
      <w:pPr>
        <w:ind w:left="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C2A1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8C5B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E6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4EB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943B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7C00C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C67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264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CFE2AFB"/>
    <w:multiLevelType w:val="hybridMultilevel"/>
    <w:tmpl w:val="30DE08B0"/>
    <w:lvl w:ilvl="0" w:tplc="B91288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E2EE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66EF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B67D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C9B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9E31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D274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C7A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60EE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AB6"/>
    <w:rsid w:val="00130AB6"/>
    <w:rsid w:val="002C7D32"/>
    <w:rsid w:val="00E06D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738FCC-FAA8-4D86-8EA6-715D17BC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7" w:line="365" w:lineRule="auto"/>
      <w:ind w:left="10" w:right="51" w:hanging="10"/>
      <w:jc w:val="both"/>
    </w:pPr>
    <w:rPr>
      <w:rFonts w:ascii="Arial" w:eastAsia="Arial" w:hAnsi="Arial" w:cs="Arial"/>
      <w:color w:val="000000"/>
      <w:sz w:val="24"/>
    </w:rPr>
  </w:style>
  <w:style w:type="paragraph" w:styleId="Ttulo1">
    <w:name w:val="heading 1"/>
    <w:next w:val="Normal"/>
    <w:link w:val="Ttulo1Char"/>
    <w:uiPriority w:val="9"/>
    <w:qFormat/>
    <w:pPr>
      <w:keepNext/>
      <w:keepLines/>
      <w:numPr>
        <w:numId w:val="5"/>
      </w:numPr>
      <w:spacing w:after="118" w:line="267" w:lineRule="auto"/>
      <w:ind w:left="10" w:right="56" w:hanging="10"/>
      <w:outlineLvl w:val="0"/>
    </w:pPr>
    <w:rPr>
      <w:rFonts w:ascii="Arial" w:eastAsia="Arial" w:hAnsi="Arial" w:cs="Arial"/>
      <w:b/>
      <w:color w:val="000000"/>
      <w:sz w:val="24"/>
    </w:rPr>
  </w:style>
  <w:style w:type="paragraph" w:styleId="Ttulo2">
    <w:name w:val="heading 2"/>
    <w:next w:val="Normal"/>
    <w:link w:val="Ttulo2Char"/>
    <w:uiPriority w:val="9"/>
    <w:unhideWhenUsed/>
    <w:qFormat/>
    <w:pPr>
      <w:keepNext/>
      <w:keepLines/>
      <w:numPr>
        <w:ilvl w:val="1"/>
        <w:numId w:val="5"/>
      </w:numPr>
      <w:spacing w:after="118" w:line="267" w:lineRule="auto"/>
      <w:ind w:left="10" w:right="56" w:hanging="10"/>
      <w:outlineLvl w:val="1"/>
    </w:pPr>
    <w:rPr>
      <w:rFonts w:ascii="Arial" w:eastAsia="Arial" w:hAnsi="Arial" w:cs="Arial"/>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Arial" w:eastAsia="Arial" w:hAnsi="Arial" w:cs="Arial"/>
      <w:b/>
      <w:color w:val="000000"/>
      <w:sz w:val="24"/>
    </w:rPr>
  </w:style>
  <w:style w:type="character" w:customStyle="1" w:styleId="Ttulo1Char">
    <w:name w:val="Título 1 Char"/>
    <w:link w:val="Ttulo1"/>
    <w:rPr>
      <w:rFonts w:ascii="Arial" w:eastAsia="Arial" w:hAnsi="Arial" w:cs="Arial"/>
      <w:b/>
      <w:color w:val="000000"/>
      <w:sz w:val="24"/>
    </w:rPr>
  </w:style>
  <w:style w:type="paragraph" w:styleId="Sumrio1">
    <w:name w:val="toc 1"/>
    <w:hidden/>
    <w:pPr>
      <w:spacing w:after="118" w:line="267" w:lineRule="auto"/>
      <w:ind w:left="25" w:right="66" w:hanging="10"/>
    </w:pPr>
    <w:rPr>
      <w:rFonts w:ascii="Arial" w:eastAsia="Arial" w:hAnsi="Arial" w:cs="Arial"/>
      <w:b/>
      <w:color w:val="000000"/>
      <w:sz w:val="24"/>
    </w:rPr>
  </w:style>
  <w:style w:type="paragraph" w:styleId="Sumrio2">
    <w:name w:val="toc 2"/>
    <w:hidden/>
    <w:pPr>
      <w:spacing w:after="118" w:line="267" w:lineRule="auto"/>
      <w:ind w:left="25" w:right="66"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gov.br/saude/pt-br/assuntos/protocolos-clinicos-e-diretrizes-terapeuticas-pcdt/arquivos/2015/doenca-celiaca-pcdt.pdf" TargetMode="External"/><Relationship Id="rId21" Type="http://schemas.openxmlformats.org/officeDocument/2006/relationships/hyperlink" Target="https://www.gov.br/saude/pt-br/assuntos/protocolos-clinicos-e-diretrizes-terapeuticas-pcdt/arquivos/2015/doenca-celiaca-pcdt.pdf" TargetMode="External"/><Relationship Id="rId42" Type="http://schemas.openxmlformats.org/officeDocument/2006/relationships/hyperlink" Target="https://doi.org/10.1053/j.gastro.2020.06.098" TargetMode="External"/><Relationship Id="rId47" Type="http://schemas.openxmlformats.org/officeDocument/2006/relationships/hyperlink" Target="https://doi.org/10.1590/S0104-42302010000100027" TargetMode="External"/><Relationship Id="rId63" Type="http://schemas.openxmlformats.org/officeDocument/2006/relationships/hyperlink" Target="https://doi.org/10.1590/0034-7167-2018-0739" TargetMode="External"/><Relationship Id="rId68" Type="http://schemas.openxmlformats.org/officeDocument/2006/relationships/hyperlink" Target="https://doi.org/10.1590/0034-7167-2018-0739" TargetMode="External"/><Relationship Id="rId84" Type="http://schemas.openxmlformats.org/officeDocument/2006/relationships/hyperlink" Target="https://doi.org/10.1590/S0004-28032009000400004" TargetMode="External"/><Relationship Id="rId89" Type="http://schemas.openxmlformats.org/officeDocument/2006/relationships/image" Target="media/image4.jpg"/><Relationship Id="rId112" Type="http://schemas.openxmlformats.org/officeDocument/2006/relationships/header" Target="header6.xml"/><Relationship Id="rId16" Type="http://schemas.openxmlformats.org/officeDocument/2006/relationships/hyperlink" Target="https://www.gov.br/saude/pt-br/assuntos/protocolos-clinicos-e-diretrizes-terapeuticas-pcdt/arquivos/2015/doenca-celiaca-pcdt.pdf" TargetMode="External"/><Relationship Id="rId107" Type="http://schemas.openxmlformats.org/officeDocument/2006/relationships/image" Target="media/image16.jpg"/><Relationship Id="rId11" Type="http://schemas.openxmlformats.org/officeDocument/2006/relationships/image" Target="media/image2.png"/><Relationship Id="rId32" Type="http://schemas.openxmlformats.org/officeDocument/2006/relationships/hyperlink" Target="http://www.acelbra.org.br/2004/" TargetMode="External"/><Relationship Id="rId37" Type="http://schemas.openxmlformats.org/officeDocument/2006/relationships/hyperlink" Target="https://doi.org/10.1590/S0004-28032016000400011" TargetMode="External"/><Relationship Id="rId53" Type="http://schemas.openxmlformats.org/officeDocument/2006/relationships/hyperlink" Target="http://dx.doi.org/10.4067/S0034-98872009001200012" TargetMode="External"/><Relationship Id="rId58" Type="http://schemas.openxmlformats.org/officeDocument/2006/relationships/hyperlink" Target="https://doi.org/10.1111/apt.13319" TargetMode="External"/><Relationship Id="rId74" Type="http://schemas.openxmlformats.org/officeDocument/2006/relationships/hyperlink" Target="https://doi.org/10.1590/S0021-75572001000200014" TargetMode="External"/><Relationship Id="rId79" Type="http://schemas.openxmlformats.org/officeDocument/2006/relationships/hyperlink" Target="https://doi.org/10.1177/2050640617751253" TargetMode="External"/><Relationship Id="rId102" Type="http://schemas.openxmlformats.org/officeDocument/2006/relationships/image" Target="media/image13.jpg"/><Relationship Id="rId5" Type="http://schemas.openxmlformats.org/officeDocument/2006/relationships/footnotes" Target="footnotes.xml"/><Relationship Id="rId90" Type="http://schemas.openxmlformats.org/officeDocument/2006/relationships/image" Target="media/image5.jpg"/><Relationship Id="rId95" Type="http://schemas.openxmlformats.org/officeDocument/2006/relationships/image" Target="media/image8.jpg"/><Relationship Id="rId22" Type="http://schemas.openxmlformats.org/officeDocument/2006/relationships/hyperlink" Target="https://www.gov.br/saude/pt-br/assuntos/protocolos-clinicos-e-diretrizes-terapeuticas-pcdt/arquivos/2015/doenca-celiaca-pcdt.pdf" TargetMode="External"/><Relationship Id="rId27" Type="http://schemas.openxmlformats.org/officeDocument/2006/relationships/hyperlink" Target="https://www.gov.br/saude/pt-br/assuntos/protocolos-clinicos-e-diretrizes-terapeuticas-pcdt/arquivos/2015/doenca-celiaca-pcdt.pdf" TargetMode="External"/><Relationship Id="rId43" Type="http://schemas.openxmlformats.org/officeDocument/2006/relationships/hyperlink" Target="https://doi.org/10.1038/nrgastro.2015.131" TargetMode="External"/><Relationship Id="rId48" Type="http://schemas.openxmlformats.org/officeDocument/2006/relationships/hyperlink" Target="https://doi.org/10.1590/S0104-42302010000100027" TargetMode="External"/><Relationship Id="rId64" Type="http://schemas.openxmlformats.org/officeDocument/2006/relationships/hyperlink" Target="https://doi.org/10.1590/0034-7167-2018-0739" TargetMode="External"/><Relationship Id="rId69" Type="http://schemas.openxmlformats.org/officeDocument/2006/relationships/hyperlink" Target="https://doi.org/10.1590/0034-7167-2018-0739" TargetMode="External"/><Relationship Id="rId113" Type="http://schemas.openxmlformats.org/officeDocument/2006/relationships/fontTable" Target="fontTable.xml"/><Relationship Id="rId80" Type="http://schemas.openxmlformats.org/officeDocument/2006/relationships/hyperlink" Target="https://doi.org/10.1177/2050640617751253" TargetMode="External"/><Relationship Id="rId85" Type="http://schemas.openxmlformats.org/officeDocument/2006/relationships/hyperlink" Target="https://doi.org/10.1590/S1415-52732010000300014" TargetMode="External"/><Relationship Id="rId12" Type="http://schemas.openxmlformats.org/officeDocument/2006/relationships/image" Target="media/image3.png"/><Relationship Id="rId17" Type="http://schemas.openxmlformats.org/officeDocument/2006/relationships/hyperlink" Target="https://www.gov.br/saude/pt-br/assuntos/protocolos-clinicos-e-diretrizes-terapeuticas-pcdt/arquivos/2015/doenca-celiaca-pcdt.pdf" TargetMode="External"/><Relationship Id="rId33" Type="http://schemas.openxmlformats.org/officeDocument/2006/relationships/hyperlink" Target="https://doi.org/10.1053/j.gastro.2006.10.004" TargetMode="External"/><Relationship Id="rId38" Type="http://schemas.openxmlformats.org/officeDocument/2006/relationships/hyperlink" Target="https://doi.org/10.1590/S0004-28032016000400011" TargetMode="External"/><Relationship Id="rId59" Type="http://schemas.openxmlformats.org/officeDocument/2006/relationships/hyperlink" Target="https://doi.org/10.1111/j.1365-277X.2011.01160.x" TargetMode="External"/><Relationship Id="rId103" Type="http://schemas.openxmlformats.org/officeDocument/2006/relationships/image" Target="media/image14.jpg"/><Relationship Id="rId108" Type="http://schemas.openxmlformats.org/officeDocument/2006/relationships/image" Target="media/image120.jpg"/><Relationship Id="rId54" Type="http://schemas.openxmlformats.org/officeDocument/2006/relationships/hyperlink" Target="http://dx.doi.org/10.4067/S0034-98872009001200012" TargetMode="External"/><Relationship Id="rId70" Type="http://schemas.openxmlformats.org/officeDocument/2006/relationships/hyperlink" Target="https://doi.org/10.1590/0034-7167-2018-0739" TargetMode="External"/><Relationship Id="rId75" Type="http://schemas.openxmlformats.org/officeDocument/2006/relationships/hyperlink" Target="https://doi.org/10.1590/S0021-75572001000200014" TargetMode="External"/><Relationship Id="rId91" Type="http://schemas.openxmlformats.org/officeDocument/2006/relationships/image" Target="media/image6.jpg"/><Relationship Id="rId9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br/saude/pt-br/assuntos/protocolos-clinicos-e-diretrizes-terapeuticas-pcdt/arquivos/2015/doenca-celiaca-pcdt.pdf" TargetMode="External"/><Relationship Id="rId23" Type="http://schemas.openxmlformats.org/officeDocument/2006/relationships/hyperlink" Target="https://www.gov.br/saude/pt-br/assuntos/protocolos-clinicos-e-diretrizes-terapeuticas-pcdt/arquivos/2015/doenca-celiaca-pcdt.pdf" TargetMode="External"/><Relationship Id="rId28" Type="http://schemas.openxmlformats.org/officeDocument/2006/relationships/hyperlink" Target="https://www.gov.br/saude/pt-br/assuntos/protocolos-clinicos-e-diretrizes-terapeuticas-pcdt/arquivos/2015/doenca-celiaca-pcdt.pdf" TargetMode="External"/><Relationship Id="rId36" Type="http://schemas.openxmlformats.org/officeDocument/2006/relationships/hyperlink" Target="https://doi.org/10.1590/S0004-28032016000400011" TargetMode="External"/><Relationship Id="rId49" Type="http://schemas.openxmlformats.org/officeDocument/2006/relationships/hyperlink" Target="https://doi.org/10.1053/j.gastro.2005.02.012" TargetMode="External"/><Relationship Id="rId57" Type="http://schemas.openxmlformats.org/officeDocument/2006/relationships/hyperlink" Target="https://doi.org/10.1111/apt.13319" TargetMode="External"/><Relationship Id="rId106" Type="http://schemas.openxmlformats.org/officeDocument/2006/relationships/image" Target="media/image15.jpg"/><Relationship Id="rId114"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hyperlink" Target="http://www.acelbra.org.br/2004/" TargetMode="External"/><Relationship Id="rId44" Type="http://schemas.openxmlformats.org/officeDocument/2006/relationships/hyperlink" Target="https://doi.org/10.1038/nrgastro.2015.131" TargetMode="External"/><Relationship Id="rId52" Type="http://schemas.openxmlformats.org/officeDocument/2006/relationships/hyperlink" Target="https://doi.org/10.1177/2050640619844125" TargetMode="External"/><Relationship Id="rId60" Type="http://schemas.openxmlformats.org/officeDocument/2006/relationships/hyperlink" Target="https://doi.org/10.1111/j.1365-277X.2011.01160.x" TargetMode="External"/><Relationship Id="rId65" Type="http://schemas.openxmlformats.org/officeDocument/2006/relationships/hyperlink" Target="https://doi.org/10.1590/0034-7167-2018-0739" TargetMode="External"/><Relationship Id="rId73" Type="http://schemas.openxmlformats.org/officeDocument/2006/relationships/hyperlink" Target="https://doi.org/10.1590/S0021-75572001000200014" TargetMode="External"/><Relationship Id="rId78" Type="http://schemas.openxmlformats.org/officeDocument/2006/relationships/hyperlink" Target="https://doi.org/10.1053/j.gastro.2006.10.003" TargetMode="External"/><Relationship Id="rId81" Type="http://schemas.openxmlformats.org/officeDocument/2006/relationships/hyperlink" Target="https://doi.org/10.1590/S0004-28032009000400004" TargetMode="External"/><Relationship Id="rId86" Type="http://schemas.openxmlformats.org/officeDocument/2006/relationships/hyperlink" Target="https://doi.org/10.1590/S1415-52732010000300014" TargetMode="External"/><Relationship Id="rId94" Type="http://schemas.openxmlformats.org/officeDocument/2006/relationships/image" Target="media/image40.jpg"/><Relationship Id="rId99" Type="http://schemas.openxmlformats.org/officeDocument/2006/relationships/image" Target="media/image70.jpg"/><Relationship Id="rId10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s://www.gov.br/saude/pt-br/assuntos/protocolos-clinicos-e-diretrizes-terapeuticas-pcdt/arquivos/2015/doenca-celiaca-pcdt.pdf" TargetMode="External"/><Relationship Id="rId18" Type="http://schemas.openxmlformats.org/officeDocument/2006/relationships/hyperlink" Target="https://www.gov.br/saude/pt-br/assuntos/protocolos-clinicos-e-diretrizes-terapeuticas-pcdt/arquivos/2015/doenca-celiaca-pcdt.pdf" TargetMode="External"/><Relationship Id="rId39" Type="http://schemas.openxmlformats.org/officeDocument/2006/relationships/hyperlink" Target="https://doi.org/10.1016/j.amjmed.2010.02.019" TargetMode="External"/><Relationship Id="rId109" Type="http://schemas.openxmlformats.org/officeDocument/2006/relationships/image" Target="media/image130.jpg"/><Relationship Id="rId34" Type="http://schemas.openxmlformats.org/officeDocument/2006/relationships/hyperlink" Target="https://doi.org/10.1053/j.gastro.2006.10.004" TargetMode="External"/><Relationship Id="rId50" Type="http://schemas.openxmlformats.org/officeDocument/2006/relationships/hyperlink" Target="https://doi.org/10.1053/j.gastro.2005.02.012" TargetMode="External"/><Relationship Id="rId55" Type="http://schemas.openxmlformats.org/officeDocument/2006/relationships/hyperlink" Target="http://dx.doi.org/10.4067/S0034-98872009001200012" TargetMode="External"/><Relationship Id="rId76" Type="http://schemas.openxmlformats.org/officeDocument/2006/relationships/hyperlink" Target="https://doi.org/10.1590/S0021-75572001000200014" TargetMode="External"/><Relationship Id="rId97" Type="http://schemas.openxmlformats.org/officeDocument/2006/relationships/image" Target="media/image10.jpg"/><Relationship Id="rId104" Type="http://schemas.openxmlformats.org/officeDocument/2006/relationships/image" Target="media/image100.jpg"/><Relationship Id="rId7" Type="http://schemas.openxmlformats.org/officeDocument/2006/relationships/image" Target="media/image1.jpg"/><Relationship Id="rId71" Type="http://schemas.openxmlformats.org/officeDocument/2006/relationships/hyperlink" Target="https://doi.org/10.1023/a:1024873630588" TargetMode="External"/><Relationship Id="rId92" Type="http://schemas.openxmlformats.org/officeDocument/2006/relationships/image" Target="media/image7.jpg"/><Relationship Id="rId2" Type="http://schemas.openxmlformats.org/officeDocument/2006/relationships/styles" Target="styles.xml"/><Relationship Id="rId29" Type="http://schemas.openxmlformats.org/officeDocument/2006/relationships/hyperlink" Target="https://www.gov.br/saude/pt-br/assuntos/protocolos-clinicos-e-diretrizes-terapeuticas-pcdt/arquivos/2015/doenca-celiaca-pcdt.pdf" TargetMode="External"/><Relationship Id="rId24" Type="http://schemas.openxmlformats.org/officeDocument/2006/relationships/hyperlink" Target="https://www.gov.br/saude/pt-br/assuntos/protocolos-clinicos-e-diretrizes-terapeuticas-pcdt/arquivos/2015/doenca-celiaca-pcdt.pdf" TargetMode="External"/><Relationship Id="rId40" Type="http://schemas.openxmlformats.org/officeDocument/2006/relationships/hyperlink" Target="https://doi.org/10.1016/j.amjmed.2010.02.019" TargetMode="External"/><Relationship Id="rId45" Type="http://schemas.openxmlformats.org/officeDocument/2006/relationships/hyperlink" Target="https://doi.org/10.1590/S0104-42302010000100027" TargetMode="External"/><Relationship Id="rId66" Type="http://schemas.openxmlformats.org/officeDocument/2006/relationships/hyperlink" Target="https://doi.org/10.1590/0034-7167-2018-0739" TargetMode="External"/><Relationship Id="rId87" Type="http://schemas.openxmlformats.org/officeDocument/2006/relationships/hyperlink" Target="https://doi.org/10.1590/S1415-52732010000300014" TargetMode="External"/><Relationship Id="rId110" Type="http://schemas.openxmlformats.org/officeDocument/2006/relationships/header" Target="header4.xml"/><Relationship Id="rId61" Type="http://schemas.openxmlformats.org/officeDocument/2006/relationships/hyperlink" Target="https://doi.org/10.1111/j.1365-277X.2011.01160.x" TargetMode="External"/><Relationship Id="rId82" Type="http://schemas.openxmlformats.org/officeDocument/2006/relationships/hyperlink" Target="https://doi.org/10.1590/S0004-28032009000400004" TargetMode="External"/><Relationship Id="rId19" Type="http://schemas.openxmlformats.org/officeDocument/2006/relationships/hyperlink" Target="https://www.gov.br/saude/pt-br/assuntos/protocolos-clinicos-e-diretrizes-terapeuticas-pcdt/arquivos/2015/doenca-celiaca-pcdt.pdf" TargetMode="External"/><Relationship Id="rId14" Type="http://schemas.openxmlformats.org/officeDocument/2006/relationships/hyperlink" Target="https://www.gov.br/saude/pt-br/assuntos/protocolos-clinicos-e-diretrizes-terapeuticas-pcdt/arquivos/2015/doenca-celiaca-pcdt.pdf" TargetMode="External"/><Relationship Id="rId30" Type="http://schemas.openxmlformats.org/officeDocument/2006/relationships/hyperlink" Target="https://www.gov.br/saude/pt-br/assuntos/protocolos-clinicos-e-diretrizes-terapeuticas-pcdt/arquivos/2015/doenca-celiaca-pcdt.pdf" TargetMode="External"/><Relationship Id="rId35" Type="http://schemas.openxmlformats.org/officeDocument/2006/relationships/hyperlink" Target="https://doi.org/10.1590/S0004-28032016000400011" TargetMode="External"/><Relationship Id="rId56" Type="http://schemas.openxmlformats.org/officeDocument/2006/relationships/hyperlink" Target="http://dx.doi.org/10.4067/S0034-98872009001200012" TargetMode="External"/><Relationship Id="rId77" Type="http://schemas.openxmlformats.org/officeDocument/2006/relationships/hyperlink" Target="https://doi.org/10.1053/j.gastro.2006.10.003" TargetMode="External"/><Relationship Id="rId100" Type="http://schemas.openxmlformats.org/officeDocument/2006/relationships/image" Target="media/image80.jpg"/><Relationship Id="rId105" Type="http://schemas.openxmlformats.org/officeDocument/2006/relationships/image" Target="media/image110.jpg"/><Relationship Id="rId8" Type="http://schemas.openxmlformats.org/officeDocument/2006/relationships/header" Target="header1.xml"/><Relationship Id="rId51" Type="http://schemas.openxmlformats.org/officeDocument/2006/relationships/hyperlink" Target="https://doi.org/10.1177/2050640619844125" TargetMode="External"/><Relationship Id="rId72" Type="http://schemas.openxmlformats.org/officeDocument/2006/relationships/hyperlink" Target="https://doi.org/10.1023/a:1024873630588" TargetMode="External"/><Relationship Id="rId93" Type="http://schemas.openxmlformats.org/officeDocument/2006/relationships/image" Target="media/image3.jpg"/><Relationship Id="rId98" Type="http://schemas.openxmlformats.org/officeDocument/2006/relationships/image" Target="media/image11.jpg"/><Relationship Id="rId3" Type="http://schemas.openxmlformats.org/officeDocument/2006/relationships/settings" Target="settings.xml"/><Relationship Id="rId25" Type="http://schemas.openxmlformats.org/officeDocument/2006/relationships/hyperlink" Target="https://www.gov.br/saude/pt-br/assuntos/protocolos-clinicos-e-diretrizes-terapeuticas-pcdt/arquivos/2015/doenca-celiaca-pcdt.pdf" TargetMode="External"/><Relationship Id="rId46" Type="http://schemas.openxmlformats.org/officeDocument/2006/relationships/hyperlink" Target="https://doi.org/10.1590/S0104-42302010000100027" TargetMode="External"/><Relationship Id="rId67" Type="http://schemas.openxmlformats.org/officeDocument/2006/relationships/hyperlink" Target="https://doi.org/10.1590/0034-7167-2018-0739" TargetMode="External"/><Relationship Id="rId20" Type="http://schemas.openxmlformats.org/officeDocument/2006/relationships/hyperlink" Target="https://www.gov.br/saude/pt-br/assuntos/protocolos-clinicos-e-diretrizes-terapeuticas-pcdt/arquivos/2015/doenca-celiaca-pcdt.pdf" TargetMode="External"/><Relationship Id="rId41" Type="http://schemas.openxmlformats.org/officeDocument/2006/relationships/hyperlink" Target="https://doi.org/10.1053/j.gastro.2020.06.098" TargetMode="External"/><Relationship Id="rId62" Type="http://schemas.openxmlformats.org/officeDocument/2006/relationships/hyperlink" Target="https://doi.org/10.1111/j.1365-277X.2011.01160.x" TargetMode="External"/><Relationship Id="rId83" Type="http://schemas.openxmlformats.org/officeDocument/2006/relationships/hyperlink" Target="https://doi.org/10.1590/S0004-28032009000400004" TargetMode="External"/><Relationship Id="rId88" Type="http://schemas.openxmlformats.org/officeDocument/2006/relationships/hyperlink" Target="https://doi.org/10.1590/S1415-52732010000300014" TargetMode="External"/><Relationship Id="rId111" Type="http://schemas.openxmlformats.org/officeDocument/2006/relationships/header" Target="header5.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8959</Words>
  <Characters>48384</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MERCES GOMES</dc:creator>
  <cp:keywords/>
  <cp:lastModifiedBy>CARLA DA SILVA SANTOS - BIBLIOTECA BROTAS</cp:lastModifiedBy>
  <cp:revision>2</cp:revision>
  <dcterms:created xsi:type="dcterms:W3CDTF">2024-08-08T11:50:00Z</dcterms:created>
  <dcterms:modified xsi:type="dcterms:W3CDTF">2024-08-08T11:50:00Z</dcterms:modified>
</cp:coreProperties>
</file>