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69E" w:rsidRDefault="00C37FF7">
      <w:pPr>
        <w:spacing w:after="226" w:line="259" w:lineRule="auto"/>
        <w:ind w:left="45" w:right="0" w:firstLine="0"/>
        <w:jc w:val="center"/>
      </w:pPr>
      <w:r>
        <w:rPr>
          <w:noProof/>
        </w:rPr>
        <w:drawing>
          <wp:inline distT="0" distB="0" distL="0" distR="0">
            <wp:extent cx="2383790" cy="55941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5"/>
                    <a:stretch>
                      <a:fillRect/>
                    </a:stretch>
                  </pic:blipFill>
                  <pic:spPr>
                    <a:xfrm>
                      <a:off x="0" y="0"/>
                      <a:ext cx="2383790" cy="559410"/>
                    </a:xfrm>
                    <a:prstGeom prst="rect">
                      <a:avLst/>
                    </a:prstGeom>
                  </pic:spPr>
                </pic:pic>
              </a:graphicData>
            </a:graphic>
          </wp:inline>
        </w:drawing>
      </w:r>
      <w:r>
        <w:rPr>
          <w:rFonts w:ascii="Calibri" w:eastAsia="Calibri" w:hAnsi="Calibri" w:cs="Calibri"/>
          <w:sz w:val="22"/>
        </w:rPr>
        <w:t xml:space="preserve"> </w:t>
      </w:r>
    </w:p>
    <w:p w:rsidR="00E0069E" w:rsidRDefault="00C37FF7">
      <w:pPr>
        <w:spacing w:after="278" w:line="259" w:lineRule="auto"/>
        <w:ind w:left="64" w:right="0" w:firstLine="0"/>
        <w:jc w:val="center"/>
      </w:pPr>
      <w:r>
        <w:rPr>
          <w:b/>
        </w:rPr>
        <w:t xml:space="preserve"> </w:t>
      </w:r>
    </w:p>
    <w:p w:rsidR="00E0069E" w:rsidRDefault="00C37FF7">
      <w:pPr>
        <w:spacing w:after="276" w:line="259" w:lineRule="auto"/>
        <w:ind w:left="10" w:right="14"/>
        <w:jc w:val="center"/>
      </w:pPr>
      <w:r>
        <w:rPr>
          <w:b/>
        </w:rPr>
        <w:t xml:space="preserve">ESCOLA BAHIANA DE MEDICINA E SAÚDE PÚBLICA </w:t>
      </w:r>
    </w:p>
    <w:p w:rsidR="00E0069E" w:rsidRDefault="00C37FF7">
      <w:pPr>
        <w:spacing w:after="276" w:line="259" w:lineRule="auto"/>
        <w:ind w:left="10" w:right="7"/>
        <w:jc w:val="center"/>
      </w:pPr>
      <w:r>
        <w:rPr>
          <w:b/>
        </w:rPr>
        <w:t xml:space="preserve">CURSO DE MEDICINA  </w:t>
      </w:r>
    </w:p>
    <w:p w:rsidR="00E0069E" w:rsidRDefault="00C37FF7">
      <w:pPr>
        <w:spacing w:after="274" w:line="259" w:lineRule="auto"/>
        <w:ind w:left="64" w:right="0" w:firstLine="0"/>
        <w:jc w:val="center"/>
      </w:pPr>
      <w:r>
        <w:rPr>
          <w:b/>
        </w:rPr>
        <w:t xml:space="preserve"> </w:t>
      </w:r>
    </w:p>
    <w:p w:rsidR="00E0069E" w:rsidRDefault="00C37FF7">
      <w:pPr>
        <w:spacing w:after="278" w:line="259" w:lineRule="auto"/>
        <w:ind w:left="64" w:right="0" w:firstLine="0"/>
        <w:jc w:val="center"/>
      </w:pPr>
      <w:r>
        <w:rPr>
          <w:b/>
        </w:rPr>
        <w:t xml:space="preserve"> </w:t>
      </w:r>
    </w:p>
    <w:p w:rsidR="00E0069E" w:rsidRDefault="00C37FF7">
      <w:pPr>
        <w:spacing w:after="274" w:line="259" w:lineRule="auto"/>
        <w:ind w:left="64" w:right="0" w:firstLine="0"/>
        <w:jc w:val="center"/>
      </w:pPr>
      <w:r>
        <w:rPr>
          <w:b/>
        </w:rPr>
        <w:t xml:space="preserve"> </w:t>
      </w:r>
    </w:p>
    <w:p w:rsidR="00E0069E" w:rsidRDefault="00C37FF7">
      <w:pPr>
        <w:spacing w:after="276" w:line="259" w:lineRule="auto"/>
        <w:ind w:left="10"/>
        <w:jc w:val="center"/>
      </w:pPr>
      <w:r>
        <w:rPr>
          <w:b/>
        </w:rPr>
        <w:t xml:space="preserve">ANA CLARA BONFIM REIS  </w:t>
      </w:r>
    </w:p>
    <w:p w:rsidR="00E0069E" w:rsidRDefault="00C37FF7">
      <w:pPr>
        <w:spacing w:after="274" w:line="259" w:lineRule="auto"/>
        <w:ind w:left="64" w:right="0" w:firstLine="0"/>
        <w:jc w:val="center"/>
      </w:pPr>
      <w:r>
        <w:rPr>
          <w:b/>
        </w:rPr>
        <w:t xml:space="preserve"> </w:t>
      </w:r>
    </w:p>
    <w:p w:rsidR="00E0069E" w:rsidRDefault="00C37FF7">
      <w:pPr>
        <w:spacing w:after="279" w:line="259" w:lineRule="auto"/>
        <w:ind w:left="64" w:right="0" w:firstLine="0"/>
        <w:jc w:val="center"/>
      </w:pPr>
      <w:r>
        <w:rPr>
          <w:b/>
        </w:rPr>
        <w:t xml:space="preserve"> </w:t>
      </w:r>
    </w:p>
    <w:p w:rsidR="00E0069E" w:rsidRDefault="00C37FF7">
      <w:pPr>
        <w:spacing w:after="274" w:line="259" w:lineRule="auto"/>
        <w:ind w:left="64" w:right="0" w:firstLine="0"/>
        <w:jc w:val="center"/>
      </w:pPr>
      <w:r>
        <w:rPr>
          <w:b/>
        </w:rPr>
        <w:t xml:space="preserve"> </w:t>
      </w:r>
    </w:p>
    <w:p w:rsidR="00E0069E" w:rsidRDefault="00C37FF7">
      <w:pPr>
        <w:spacing w:after="156" w:line="362" w:lineRule="auto"/>
        <w:ind w:left="10" w:right="0"/>
        <w:jc w:val="center"/>
      </w:pPr>
      <w:r>
        <w:rPr>
          <w:b/>
        </w:rPr>
        <w:t xml:space="preserve">Eventos adversos relacionados aos tratamentos da infecção latente por </w:t>
      </w:r>
      <w:r>
        <w:rPr>
          <w:b/>
          <w:i/>
        </w:rPr>
        <w:t xml:space="preserve">Mycobacterium </w:t>
      </w:r>
      <w:proofErr w:type="spellStart"/>
      <w:r>
        <w:rPr>
          <w:b/>
          <w:i/>
        </w:rPr>
        <w:t>tuberculosis</w:t>
      </w:r>
      <w:proofErr w:type="spellEnd"/>
      <w:r>
        <w:rPr>
          <w:b/>
        </w:rPr>
        <w:t>:</w:t>
      </w:r>
      <w:r>
        <w:rPr>
          <w:b/>
          <w:i/>
        </w:rPr>
        <w:t xml:space="preserve"> </w:t>
      </w:r>
      <w:r>
        <w:rPr>
          <w:b/>
        </w:rPr>
        <w:t xml:space="preserve">Revisão Sistemática </w:t>
      </w:r>
    </w:p>
    <w:p w:rsidR="00E0069E" w:rsidRDefault="00C37FF7">
      <w:pPr>
        <w:spacing w:after="279" w:line="259" w:lineRule="auto"/>
        <w:ind w:left="64" w:right="0" w:firstLine="0"/>
        <w:jc w:val="center"/>
      </w:pPr>
      <w:r>
        <w:rPr>
          <w:b/>
        </w:rPr>
        <w:t xml:space="preserve"> </w:t>
      </w:r>
    </w:p>
    <w:p w:rsidR="00E0069E" w:rsidRDefault="00C37FF7">
      <w:pPr>
        <w:spacing w:after="274" w:line="259" w:lineRule="auto"/>
        <w:ind w:left="64" w:right="0" w:firstLine="0"/>
        <w:jc w:val="center"/>
      </w:pPr>
      <w:r>
        <w:rPr>
          <w:b/>
        </w:rPr>
        <w:t xml:space="preserve"> </w:t>
      </w:r>
    </w:p>
    <w:p w:rsidR="00E0069E" w:rsidRDefault="00C37FF7">
      <w:pPr>
        <w:spacing w:after="278" w:line="259" w:lineRule="auto"/>
        <w:ind w:left="64" w:right="0" w:firstLine="0"/>
        <w:jc w:val="center"/>
      </w:pPr>
      <w:r>
        <w:rPr>
          <w:b/>
        </w:rPr>
        <w:t xml:space="preserve"> </w:t>
      </w:r>
    </w:p>
    <w:p w:rsidR="00E0069E" w:rsidRDefault="00C37FF7">
      <w:pPr>
        <w:spacing w:after="276" w:line="259" w:lineRule="auto"/>
        <w:ind w:left="10" w:right="12"/>
        <w:jc w:val="center"/>
      </w:pPr>
      <w:r>
        <w:rPr>
          <w:b/>
        </w:rPr>
        <w:t xml:space="preserve">TRABALHO DE CONCLUSÃO DE CURSO </w:t>
      </w:r>
    </w:p>
    <w:p w:rsidR="00E0069E" w:rsidRDefault="00C37FF7">
      <w:pPr>
        <w:spacing w:after="278" w:line="259" w:lineRule="auto"/>
        <w:ind w:left="64" w:right="0" w:firstLine="0"/>
        <w:jc w:val="center"/>
      </w:pPr>
      <w:r>
        <w:rPr>
          <w:b/>
        </w:rPr>
        <w:t xml:space="preserve"> </w:t>
      </w:r>
    </w:p>
    <w:p w:rsidR="00E0069E" w:rsidRDefault="00C37FF7">
      <w:pPr>
        <w:spacing w:after="274" w:line="259" w:lineRule="auto"/>
        <w:ind w:left="64" w:right="0" w:firstLine="0"/>
        <w:jc w:val="center"/>
      </w:pPr>
      <w:r>
        <w:rPr>
          <w:b/>
        </w:rPr>
        <w:t xml:space="preserve"> </w:t>
      </w:r>
    </w:p>
    <w:p w:rsidR="00E0069E" w:rsidRDefault="00C37FF7">
      <w:pPr>
        <w:spacing w:after="278" w:line="259" w:lineRule="auto"/>
        <w:ind w:left="64" w:right="0" w:firstLine="0"/>
        <w:jc w:val="center"/>
      </w:pPr>
      <w:r>
        <w:rPr>
          <w:b/>
        </w:rPr>
        <w:t xml:space="preserve"> </w:t>
      </w:r>
    </w:p>
    <w:p w:rsidR="00E0069E" w:rsidRDefault="00C37FF7">
      <w:pPr>
        <w:spacing w:after="274" w:line="259" w:lineRule="auto"/>
        <w:ind w:left="64" w:right="0" w:firstLine="0"/>
        <w:jc w:val="center"/>
      </w:pPr>
      <w:r>
        <w:rPr>
          <w:b/>
        </w:rPr>
        <w:t xml:space="preserve"> </w:t>
      </w:r>
    </w:p>
    <w:p w:rsidR="00E0069E" w:rsidRDefault="00C37FF7">
      <w:pPr>
        <w:spacing w:after="281" w:line="259" w:lineRule="auto"/>
        <w:ind w:left="64" w:right="0" w:firstLine="0"/>
        <w:jc w:val="center"/>
      </w:pPr>
      <w:r>
        <w:rPr>
          <w:b/>
        </w:rPr>
        <w:t xml:space="preserve"> </w:t>
      </w:r>
    </w:p>
    <w:p w:rsidR="00E0069E" w:rsidRDefault="00C37FF7">
      <w:pPr>
        <w:spacing w:after="276" w:line="259" w:lineRule="auto"/>
        <w:ind w:left="10" w:right="6"/>
        <w:jc w:val="center"/>
      </w:pPr>
      <w:r>
        <w:rPr>
          <w:b/>
        </w:rPr>
        <w:t xml:space="preserve">SALVADOR – BA </w:t>
      </w:r>
    </w:p>
    <w:p w:rsidR="00E0069E" w:rsidRDefault="00C37FF7">
      <w:pPr>
        <w:spacing w:after="276" w:line="259" w:lineRule="auto"/>
        <w:ind w:left="10" w:right="193"/>
        <w:jc w:val="center"/>
      </w:pPr>
      <w:r>
        <w:rPr>
          <w:b/>
        </w:rPr>
        <w:t xml:space="preserve">2023 </w:t>
      </w:r>
    </w:p>
    <w:p w:rsidR="00E0069E" w:rsidRDefault="00C37FF7">
      <w:pPr>
        <w:spacing w:after="276" w:line="259" w:lineRule="auto"/>
        <w:ind w:left="10"/>
        <w:jc w:val="center"/>
      </w:pPr>
      <w:r>
        <w:rPr>
          <w:b/>
        </w:rPr>
        <w:lastRenderedPageBreak/>
        <w:t xml:space="preserve">ANA CLARA BONFIM REIS </w:t>
      </w:r>
    </w:p>
    <w:p w:rsidR="00E0069E" w:rsidRDefault="00C37FF7">
      <w:pPr>
        <w:spacing w:after="278" w:line="259" w:lineRule="auto"/>
        <w:ind w:left="64" w:right="0" w:firstLine="0"/>
        <w:jc w:val="center"/>
      </w:pPr>
      <w:r>
        <w:rPr>
          <w:b/>
        </w:rPr>
        <w:t xml:space="preserve"> </w:t>
      </w:r>
    </w:p>
    <w:p w:rsidR="00E0069E" w:rsidRDefault="00C37FF7">
      <w:pPr>
        <w:spacing w:after="274" w:line="259" w:lineRule="auto"/>
        <w:ind w:left="64" w:right="0" w:firstLine="0"/>
        <w:jc w:val="center"/>
      </w:pPr>
      <w:r>
        <w:rPr>
          <w:b/>
        </w:rPr>
        <w:t xml:space="preserve"> </w:t>
      </w:r>
    </w:p>
    <w:p w:rsidR="00E0069E" w:rsidRDefault="00C37FF7">
      <w:pPr>
        <w:spacing w:after="278" w:line="259" w:lineRule="auto"/>
        <w:ind w:left="64" w:right="0" w:firstLine="0"/>
        <w:jc w:val="center"/>
      </w:pPr>
      <w:r>
        <w:rPr>
          <w:b/>
        </w:rPr>
        <w:t xml:space="preserve"> </w:t>
      </w:r>
    </w:p>
    <w:p w:rsidR="00E0069E" w:rsidRDefault="00C37FF7">
      <w:pPr>
        <w:spacing w:after="274" w:line="259" w:lineRule="auto"/>
        <w:ind w:left="64" w:right="0" w:firstLine="0"/>
        <w:jc w:val="center"/>
      </w:pPr>
      <w:r>
        <w:rPr>
          <w:b/>
        </w:rPr>
        <w:t xml:space="preserve"> </w:t>
      </w:r>
    </w:p>
    <w:p w:rsidR="00E0069E" w:rsidRDefault="00C37FF7">
      <w:pPr>
        <w:spacing w:after="278" w:line="259" w:lineRule="auto"/>
        <w:ind w:left="64" w:right="0" w:firstLine="0"/>
        <w:jc w:val="center"/>
      </w:pPr>
      <w:r>
        <w:rPr>
          <w:b/>
        </w:rPr>
        <w:t xml:space="preserve"> </w:t>
      </w:r>
    </w:p>
    <w:p w:rsidR="00E0069E" w:rsidRDefault="00C37FF7">
      <w:pPr>
        <w:spacing w:after="159" w:line="359" w:lineRule="auto"/>
        <w:ind w:left="10" w:right="0"/>
        <w:jc w:val="center"/>
      </w:pPr>
      <w:r>
        <w:rPr>
          <w:b/>
        </w:rPr>
        <w:t xml:space="preserve">Eventos adversos relacionados aos tratamentos da infecção latente por </w:t>
      </w:r>
      <w:r>
        <w:rPr>
          <w:b/>
          <w:i/>
        </w:rPr>
        <w:t xml:space="preserve">Mycobacterium </w:t>
      </w:r>
      <w:proofErr w:type="spellStart"/>
      <w:r>
        <w:rPr>
          <w:b/>
          <w:i/>
        </w:rPr>
        <w:t>tuberculosis</w:t>
      </w:r>
      <w:proofErr w:type="spellEnd"/>
      <w:r>
        <w:rPr>
          <w:b/>
        </w:rPr>
        <w:t>:</w:t>
      </w:r>
      <w:r>
        <w:rPr>
          <w:b/>
          <w:i/>
        </w:rPr>
        <w:t xml:space="preserve"> </w:t>
      </w:r>
      <w:r>
        <w:rPr>
          <w:b/>
        </w:rPr>
        <w:t xml:space="preserve">Revisão Sistemática </w:t>
      </w:r>
    </w:p>
    <w:p w:rsidR="00E0069E" w:rsidRDefault="00C37FF7">
      <w:pPr>
        <w:spacing w:after="278" w:line="259" w:lineRule="auto"/>
        <w:ind w:left="3541" w:right="0" w:firstLine="0"/>
        <w:jc w:val="left"/>
      </w:pPr>
      <w:r>
        <w:rPr>
          <w:b/>
        </w:rPr>
        <w:t xml:space="preserve"> </w:t>
      </w:r>
    </w:p>
    <w:p w:rsidR="00E0069E" w:rsidRDefault="00C37FF7">
      <w:pPr>
        <w:spacing w:after="274" w:line="259" w:lineRule="auto"/>
        <w:ind w:left="3541" w:right="0" w:firstLine="0"/>
        <w:jc w:val="left"/>
      </w:pPr>
      <w:r>
        <w:rPr>
          <w:b/>
        </w:rPr>
        <w:t xml:space="preserve"> </w:t>
      </w:r>
    </w:p>
    <w:p w:rsidR="00E0069E" w:rsidRDefault="00C37FF7">
      <w:pPr>
        <w:spacing w:after="278" w:line="259" w:lineRule="auto"/>
        <w:ind w:left="3541" w:right="0" w:firstLine="0"/>
        <w:jc w:val="left"/>
      </w:pPr>
      <w:r>
        <w:rPr>
          <w:b/>
        </w:rPr>
        <w:t xml:space="preserve"> </w:t>
      </w:r>
    </w:p>
    <w:p w:rsidR="00E0069E" w:rsidRDefault="00C37FF7">
      <w:pPr>
        <w:spacing w:after="274" w:line="259" w:lineRule="auto"/>
        <w:ind w:left="3541" w:right="0" w:firstLine="0"/>
        <w:jc w:val="left"/>
      </w:pPr>
      <w:bookmarkStart w:id="0" w:name="_GoBack"/>
      <w:bookmarkEnd w:id="0"/>
      <w:r>
        <w:rPr>
          <w:b/>
        </w:rPr>
        <w:t xml:space="preserve"> </w:t>
      </w:r>
    </w:p>
    <w:p w:rsidR="00E0069E" w:rsidRDefault="00C37FF7">
      <w:pPr>
        <w:spacing w:after="278" w:line="259" w:lineRule="auto"/>
        <w:ind w:left="3541" w:right="0" w:firstLine="0"/>
        <w:jc w:val="left"/>
      </w:pPr>
      <w:r>
        <w:rPr>
          <w:b/>
        </w:rPr>
        <w:t xml:space="preserve"> </w:t>
      </w:r>
    </w:p>
    <w:p w:rsidR="00E0069E" w:rsidRDefault="00C37FF7">
      <w:pPr>
        <w:ind w:right="0"/>
      </w:pPr>
      <w:r>
        <w:t xml:space="preserve">Trabalho de Conclusão de Curso, apresentado ao curso de graduação em Medicina da Escola </w:t>
      </w:r>
      <w:proofErr w:type="spellStart"/>
      <w:r>
        <w:t>Bahiana</w:t>
      </w:r>
      <w:proofErr w:type="spellEnd"/>
      <w:r>
        <w:t xml:space="preserve"> de Medicina e Saúde Pública, para aprovação parcial no 4º ano do curso de Medicina. </w:t>
      </w:r>
      <w:r>
        <w:rPr>
          <w:b/>
        </w:rPr>
        <w:t xml:space="preserve"> </w:t>
      </w:r>
    </w:p>
    <w:p w:rsidR="00E0069E" w:rsidRDefault="00C37FF7">
      <w:pPr>
        <w:ind w:right="0"/>
      </w:pPr>
      <w:r>
        <w:t>Orientador(a): Victor Augusto Camarinha Castro Lima</w:t>
      </w:r>
      <w:r>
        <w:rPr>
          <w:b/>
        </w:rPr>
        <w:t xml:space="preserve"> </w:t>
      </w:r>
    </w:p>
    <w:p w:rsidR="00E0069E" w:rsidRDefault="00C37FF7">
      <w:pPr>
        <w:spacing w:after="274" w:line="259" w:lineRule="auto"/>
        <w:ind w:left="0" w:right="0" w:firstLine="0"/>
        <w:jc w:val="left"/>
      </w:pPr>
      <w:r>
        <w:rPr>
          <w:b/>
        </w:rPr>
        <w:t xml:space="preserve"> </w:t>
      </w:r>
    </w:p>
    <w:p w:rsidR="00E0069E" w:rsidRDefault="00C37FF7">
      <w:pPr>
        <w:spacing w:after="278" w:line="259" w:lineRule="auto"/>
        <w:ind w:left="0" w:right="0" w:firstLine="0"/>
        <w:jc w:val="left"/>
      </w:pPr>
      <w:r>
        <w:rPr>
          <w:b/>
        </w:rPr>
        <w:t xml:space="preserve"> </w:t>
      </w:r>
    </w:p>
    <w:p w:rsidR="00E0069E" w:rsidRDefault="00C37FF7">
      <w:pPr>
        <w:spacing w:after="274" w:line="259" w:lineRule="auto"/>
        <w:ind w:left="0" w:right="0" w:firstLine="0"/>
        <w:jc w:val="left"/>
      </w:pPr>
      <w:r>
        <w:rPr>
          <w:b/>
        </w:rPr>
        <w:t xml:space="preserve"> </w:t>
      </w:r>
    </w:p>
    <w:p w:rsidR="00E0069E" w:rsidRDefault="00C37FF7">
      <w:pPr>
        <w:spacing w:after="278" w:line="259" w:lineRule="auto"/>
        <w:ind w:left="0" w:right="0" w:firstLine="0"/>
        <w:jc w:val="left"/>
      </w:pPr>
      <w:r>
        <w:rPr>
          <w:b/>
        </w:rPr>
        <w:t xml:space="preserve"> </w:t>
      </w:r>
    </w:p>
    <w:p w:rsidR="00E0069E" w:rsidRDefault="00C37FF7">
      <w:pPr>
        <w:spacing w:after="274" w:line="259" w:lineRule="auto"/>
        <w:ind w:left="0" w:right="0" w:firstLine="0"/>
        <w:jc w:val="left"/>
      </w:pPr>
      <w:r>
        <w:rPr>
          <w:b/>
        </w:rPr>
        <w:t xml:space="preserve"> </w:t>
      </w:r>
    </w:p>
    <w:p w:rsidR="00E0069E" w:rsidRDefault="00C37FF7">
      <w:pPr>
        <w:spacing w:after="276" w:line="259" w:lineRule="auto"/>
        <w:ind w:left="10" w:right="10"/>
        <w:jc w:val="center"/>
      </w:pPr>
      <w:r>
        <w:rPr>
          <w:b/>
        </w:rPr>
        <w:t xml:space="preserve">SALVADOR </w:t>
      </w:r>
    </w:p>
    <w:p w:rsidR="00E0069E" w:rsidRDefault="00C37FF7">
      <w:pPr>
        <w:spacing w:after="276" w:line="259" w:lineRule="auto"/>
        <w:ind w:left="10"/>
        <w:jc w:val="center"/>
      </w:pPr>
      <w:r>
        <w:rPr>
          <w:b/>
        </w:rPr>
        <w:t xml:space="preserve">2023 </w:t>
      </w:r>
    </w:p>
    <w:p w:rsidR="00E0069E" w:rsidRDefault="00C37FF7">
      <w:pPr>
        <w:spacing w:after="276" w:line="259" w:lineRule="auto"/>
        <w:ind w:left="10" w:right="8"/>
        <w:jc w:val="center"/>
      </w:pPr>
      <w:r>
        <w:rPr>
          <w:b/>
        </w:rPr>
        <w:lastRenderedPageBreak/>
        <w:t xml:space="preserve">RESUMO </w:t>
      </w:r>
    </w:p>
    <w:p w:rsidR="00E0069E" w:rsidRDefault="00C37FF7">
      <w:pPr>
        <w:ind w:left="10" w:right="0"/>
      </w:pPr>
      <w:r>
        <w:rPr>
          <w:b/>
        </w:rPr>
        <w:t xml:space="preserve">Introdução: </w:t>
      </w:r>
      <w:r>
        <w:t xml:space="preserve">O tratamento da infecção latente por </w:t>
      </w:r>
      <w:r>
        <w:rPr>
          <w:i/>
        </w:rPr>
        <w:t xml:space="preserve">Mycobacterium </w:t>
      </w:r>
      <w:proofErr w:type="spellStart"/>
      <w:r>
        <w:rPr>
          <w:i/>
        </w:rPr>
        <w:t>tuberculosis</w:t>
      </w:r>
      <w:proofErr w:type="spellEnd"/>
      <w:r>
        <w:rPr>
          <w:i/>
        </w:rPr>
        <w:t xml:space="preserve"> </w:t>
      </w:r>
      <w:r>
        <w:t>(ILTB) é uma das estratégias no enfrentamento à Tuberculose no mundo. O tempo prolongado e os eventos adversos associados aos esquemas disponíveis são obstáculos rela</w:t>
      </w:r>
      <w:r>
        <w:t xml:space="preserve">cionados ao tratamento de ILTB. Em 2022, o Ministério da Saúde incorporou o regime 3HP, composto por </w:t>
      </w:r>
      <w:proofErr w:type="spellStart"/>
      <w:r>
        <w:t>Rifapentina</w:t>
      </w:r>
      <w:proofErr w:type="spellEnd"/>
      <w:r>
        <w:t xml:space="preserve"> e Isoniazida semanal, por 3 meses, como esquema de primeira linha para tratamento de ILTB no Brasil. </w:t>
      </w:r>
      <w:r>
        <w:rPr>
          <w:b/>
        </w:rPr>
        <w:t xml:space="preserve">Objetivo: </w:t>
      </w:r>
      <w:r>
        <w:t>O objetivo desta revisão sistemá</w:t>
      </w:r>
      <w:r>
        <w:t>tica é descrever, analisar e comparar a ocorrência de eventos adversos relatados pelos estudos identificados na literatura científica, e os esquemas de tratamento da ILTB utilizados por eles. Além disso, observar se há correlação entre a frequência de even</w:t>
      </w:r>
      <w:r>
        <w:t xml:space="preserve">tos adversos e as taxas de adesões aos tratamentos. </w:t>
      </w:r>
      <w:r>
        <w:rPr>
          <w:b/>
        </w:rPr>
        <w:t xml:space="preserve">Métodos: </w:t>
      </w:r>
      <w:r>
        <w:t>Foi realizada uma revisão de literatura objetivando a busca de artigos envolvendo pacientes tratados para ILTB. A revisão incluiu estudos publicados entre os anos de 2012 até 2022, nos idiomas in</w:t>
      </w:r>
      <w:r>
        <w:t xml:space="preserve">glês, português ou espanhol. Também foi realizada a análise de qualidade dos artigos. Foi realizada uma análise sobre os tipos de esquemas de tratamento utilizados, comparando os efeitos colaterais e a adesão entre eles. </w:t>
      </w:r>
      <w:r>
        <w:rPr>
          <w:b/>
        </w:rPr>
        <w:t xml:space="preserve">Resultados: </w:t>
      </w:r>
      <w:r>
        <w:t>Foram incluídos 22 estu</w:t>
      </w:r>
      <w:r>
        <w:t>dos na revisão. Os esquemas de tratamento mais relatados entre os estudos foram o 9H e o 3HP. O regime 9H apresentou taxas mais altas de eventos adversos e uma adesão medicamentosa menor, ao ser comparada com os outros esquemas. Os eventos adversos mais pr</w:t>
      </w:r>
      <w:r>
        <w:t xml:space="preserve">esentes entre os estudos foram reações semelhantes à gripe, sintomas gastrointestinais como, por exemplo, à diarreia e hepatotoxicidade. </w:t>
      </w:r>
      <w:r>
        <w:rPr>
          <w:b/>
        </w:rPr>
        <w:t>Conclusão:</w:t>
      </w:r>
      <w:r>
        <w:t xml:space="preserve"> O regime 3HP apresentou melhor </w:t>
      </w:r>
      <w:proofErr w:type="gramStart"/>
      <w:r>
        <w:t>tolerância  apresentando</w:t>
      </w:r>
      <w:proofErr w:type="gramEnd"/>
      <w:r>
        <w:t xml:space="preserve"> frequência de eventos adversos inferior ao comparar-</w:t>
      </w:r>
      <w:r>
        <w:t xml:space="preserve">se com os demais esquemas e altas taxas de adesão.  </w:t>
      </w:r>
    </w:p>
    <w:p w:rsidR="00E0069E" w:rsidRPr="00C37FF7" w:rsidRDefault="00C37FF7">
      <w:pPr>
        <w:spacing w:after="118" w:line="259" w:lineRule="auto"/>
        <w:ind w:left="10" w:right="0"/>
        <w:rPr>
          <w:lang w:val="en-US"/>
        </w:rPr>
      </w:pPr>
      <w:r>
        <w:rPr>
          <w:b/>
        </w:rPr>
        <w:t xml:space="preserve">Palavras-chave: </w:t>
      </w:r>
      <w:r>
        <w:t xml:space="preserve">Infecção Latente por Mycobacterium </w:t>
      </w:r>
      <w:proofErr w:type="spellStart"/>
      <w:r>
        <w:rPr>
          <w:i/>
        </w:rPr>
        <w:t>tuberculosis</w:t>
      </w:r>
      <w:proofErr w:type="spellEnd"/>
      <w:r>
        <w:t xml:space="preserve">. </w:t>
      </w:r>
      <w:proofErr w:type="spellStart"/>
      <w:r w:rsidRPr="00C37FF7">
        <w:rPr>
          <w:lang w:val="en-US"/>
        </w:rPr>
        <w:t>Tratamento</w:t>
      </w:r>
      <w:proofErr w:type="spellEnd"/>
      <w:r w:rsidRPr="00C37FF7">
        <w:rPr>
          <w:lang w:val="en-US"/>
        </w:rPr>
        <w:t xml:space="preserve">. </w:t>
      </w:r>
    </w:p>
    <w:p w:rsidR="00E0069E" w:rsidRPr="00C37FF7" w:rsidRDefault="00C37FF7">
      <w:pPr>
        <w:spacing w:after="274" w:line="259" w:lineRule="auto"/>
        <w:ind w:left="10" w:right="0"/>
        <w:rPr>
          <w:lang w:val="en-US"/>
        </w:rPr>
      </w:pPr>
      <w:proofErr w:type="spellStart"/>
      <w:r w:rsidRPr="00C37FF7">
        <w:rPr>
          <w:lang w:val="en-US"/>
        </w:rPr>
        <w:t>Eventos</w:t>
      </w:r>
      <w:proofErr w:type="spellEnd"/>
      <w:r w:rsidRPr="00C37FF7">
        <w:rPr>
          <w:lang w:val="en-US"/>
        </w:rPr>
        <w:t xml:space="preserve"> </w:t>
      </w:r>
      <w:proofErr w:type="spellStart"/>
      <w:r w:rsidRPr="00C37FF7">
        <w:rPr>
          <w:lang w:val="en-US"/>
        </w:rPr>
        <w:t>Adversos</w:t>
      </w:r>
      <w:proofErr w:type="spellEnd"/>
      <w:r w:rsidRPr="00C37FF7">
        <w:rPr>
          <w:lang w:val="en-US"/>
        </w:rPr>
        <w:t xml:space="preserve">. </w:t>
      </w:r>
      <w:proofErr w:type="spellStart"/>
      <w:r w:rsidRPr="00C37FF7">
        <w:rPr>
          <w:lang w:val="en-US"/>
        </w:rPr>
        <w:t>Adesão</w:t>
      </w:r>
      <w:proofErr w:type="spellEnd"/>
      <w:r w:rsidRPr="00C37FF7">
        <w:rPr>
          <w:lang w:val="en-US"/>
        </w:rPr>
        <w:t xml:space="preserve">.  </w:t>
      </w:r>
    </w:p>
    <w:p w:rsidR="00E0069E" w:rsidRPr="00C37FF7" w:rsidRDefault="00C37FF7">
      <w:pPr>
        <w:spacing w:after="0" w:line="259" w:lineRule="auto"/>
        <w:ind w:left="0" w:right="0" w:firstLine="0"/>
        <w:jc w:val="left"/>
        <w:rPr>
          <w:lang w:val="en-US"/>
        </w:rPr>
      </w:pPr>
      <w:r w:rsidRPr="00C37FF7">
        <w:rPr>
          <w:lang w:val="en-US"/>
        </w:rPr>
        <w:t xml:space="preserve"> </w:t>
      </w:r>
      <w:r w:rsidRPr="00C37FF7">
        <w:rPr>
          <w:lang w:val="en-US"/>
        </w:rPr>
        <w:tab/>
        <w:t xml:space="preserve"> </w:t>
      </w:r>
    </w:p>
    <w:p w:rsidR="00E0069E" w:rsidRPr="00C37FF7" w:rsidRDefault="00C37FF7">
      <w:pPr>
        <w:spacing w:after="276" w:line="259" w:lineRule="auto"/>
        <w:ind w:left="10" w:right="4"/>
        <w:jc w:val="center"/>
        <w:rPr>
          <w:lang w:val="en-US"/>
        </w:rPr>
      </w:pPr>
      <w:r w:rsidRPr="00C37FF7">
        <w:rPr>
          <w:b/>
          <w:lang w:val="en-US"/>
        </w:rPr>
        <w:t xml:space="preserve">ABSTRACT </w:t>
      </w:r>
    </w:p>
    <w:p w:rsidR="00E0069E" w:rsidRPr="00C37FF7" w:rsidRDefault="00C37FF7">
      <w:pPr>
        <w:ind w:left="10" w:right="0"/>
        <w:rPr>
          <w:lang w:val="en-US"/>
        </w:rPr>
      </w:pPr>
      <w:r w:rsidRPr="00C37FF7">
        <w:rPr>
          <w:b/>
          <w:lang w:val="en-US"/>
        </w:rPr>
        <w:t>Introduction:</w:t>
      </w:r>
      <w:r w:rsidRPr="00C37FF7">
        <w:rPr>
          <w:lang w:val="en-US"/>
        </w:rPr>
        <w:t xml:space="preserve"> </w:t>
      </w:r>
      <w:r w:rsidRPr="00C37FF7">
        <w:rPr>
          <w:lang w:val="en-US"/>
        </w:rPr>
        <w:t>The treatment of latent Mycobacterium tuberculosis infection (LTBI) is one of the strategies to combat tuberculosis in the world. The prolonged time and adverse events associated with available regimens are obstacles related to the treatment of LTBI. In 20</w:t>
      </w:r>
      <w:r w:rsidRPr="00C37FF7">
        <w:rPr>
          <w:lang w:val="en-US"/>
        </w:rPr>
        <w:t xml:space="preserve">22, the Ministry of Health incorporated the 3HP regimen, consisting of Rifapentine and Isoniazid weekly for 3 months, as a first-line regimen for </w:t>
      </w:r>
      <w:r w:rsidRPr="00C37FF7">
        <w:rPr>
          <w:lang w:val="en-US"/>
        </w:rPr>
        <w:lastRenderedPageBreak/>
        <w:t xml:space="preserve">the treatment of LTBI in Brazil. </w:t>
      </w:r>
      <w:r w:rsidRPr="00C37FF7">
        <w:rPr>
          <w:b/>
          <w:lang w:val="en-US"/>
        </w:rPr>
        <w:t>Objective:</w:t>
      </w:r>
      <w:r w:rsidRPr="00C37FF7">
        <w:rPr>
          <w:lang w:val="en-US"/>
        </w:rPr>
        <w:t xml:space="preserve"> The objective of this systematic review is to describe, analyze an</w:t>
      </w:r>
      <w:r w:rsidRPr="00C37FF7">
        <w:rPr>
          <w:lang w:val="en-US"/>
        </w:rPr>
        <w:t xml:space="preserve">d compare the occurrence of adverse events reported by studies identified in the scientific literature, and the LTBI treatment regimens used by them. Furthermore, observe whether there is a correlation between the frequency of adverse events and treatment </w:t>
      </w:r>
      <w:r w:rsidRPr="00C37FF7">
        <w:rPr>
          <w:lang w:val="en-US"/>
        </w:rPr>
        <w:t xml:space="preserve">adherence rates. </w:t>
      </w:r>
      <w:r w:rsidRPr="00C37FF7">
        <w:rPr>
          <w:b/>
          <w:lang w:val="en-US"/>
        </w:rPr>
        <w:t>Methods:</w:t>
      </w:r>
      <w:r w:rsidRPr="00C37FF7">
        <w:rPr>
          <w:lang w:val="en-US"/>
        </w:rPr>
        <w:t xml:space="preserve"> A literature review was carried out to search for articles involving patients treated for LTBI. The review included studies published between 2012 and 2022, in English, Portuguese or Spanish. The quality analysis of the articles w</w:t>
      </w:r>
      <w:r w:rsidRPr="00C37FF7">
        <w:rPr>
          <w:lang w:val="en-US"/>
        </w:rPr>
        <w:t xml:space="preserve">as also carried out. An analysis was carried out on the types of treatment regimens used, comparing side effects and adherence between them. </w:t>
      </w:r>
      <w:r w:rsidRPr="00C37FF7">
        <w:rPr>
          <w:b/>
          <w:lang w:val="en-US"/>
        </w:rPr>
        <w:t>Results:</w:t>
      </w:r>
      <w:r w:rsidRPr="00C37FF7">
        <w:rPr>
          <w:lang w:val="en-US"/>
        </w:rPr>
        <w:t xml:space="preserve"> 22 review studies were included. The most reported treatment regimens across studies were 9H and 3HP. The </w:t>
      </w:r>
      <w:r w:rsidRPr="00C37FF7">
        <w:rPr>
          <w:lang w:val="en-US"/>
        </w:rPr>
        <w:t xml:space="preserve">9H regimen showed higher rates of adverse events and lower medication adherence when compared to the other regimens. The most common adverse events among the studies were flu-like reactions, gastrointestinal symptoms, such as diarrhea and hepatotoxicity. </w:t>
      </w:r>
      <w:r w:rsidRPr="00C37FF7">
        <w:rPr>
          <w:b/>
          <w:lang w:val="en-US"/>
        </w:rPr>
        <w:t>C</w:t>
      </w:r>
      <w:r w:rsidRPr="00C37FF7">
        <w:rPr>
          <w:b/>
          <w:lang w:val="en-US"/>
        </w:rPr>
        <w:t>onclusion:</w:t>
      </w:r>
      <w:r w:rsidRPr="00C37FF7">
        <w:rPr>
          <w:lang w:val="en-US"/>
        </w:rPr>
        <w:t xml:space="preserve"> The 3HP regimen showed better tolerance, presenting a lower frequency of adverse events when compared to other regimens and high adherence rates. </w:t>
      </w:r>
    </w:p>
    <w:p w:rsidR="00E0069E" w:rsidRDefault="00C37FF7">
      <w:pPr>
        <w:spacing w:after="118" w:line="259" w:lineRule="auto"/>
        <w:ind w:left="10" w:right="0"/>
      </w:pPr>
      <w:r w:rsidRPr="00C37FF7">
        <w:rPr>
          <w:b/>
          <w:lang w:val="en-US"/>
        </w:rPr>
        <w:t xml:space="preserve">Keywords: </w:t>
      </w:r>
      <w:r w:rsidRPr="00C37FF7">
        <w:rPr>
          <w:lang w:val="en-US"/>
        </w:rPr>
        <w:t xml:space="preserve">Latent Mycobacterium </w:t>
      </w:r>
      <w:r w:rsidRPr="00C37FF7">
        <w:rPr>
          <w:i/>
          <w:lang w:val="en-US"/>
        </w:rPr>
        <w:t>tuberculosis</w:t>
      </w:r>
      <w:r w:rsidRPr="00C37FF7">
        <w:rPr>
          <w:lang w:val="en-US"/>
        </w:rPr>
        <w:t xml:space="preserve"> infection. </w:t>
      </w:r>
      <w:proofErr w:type="spellStart"/>
      <w:r>
        <w:t>Treatment</w:t>
      </w:r>
      <w:proofErr w:type="spellEnd"/>
      <w:r>
        <w:t xml:space="preserve">. Adverse </w:t>
      </w:r>
      <w:proofErr w:type="spellStart"/>
      <w:r>
        <w:t>events</w:t>
      </w:r>
      <w:proofErr w:type="spellEnd"/>
      <w:r>
        <w:t xml:space="preserve">. </w:t>
      </w:r>
    </w:p>
    <w:p w:rsidR="00E0069E" w:rsidRDefault="00C37FF7">
      <w:pPr>
        <w:spacing w:after="274" w:line="259" w:lineRule="auto"/>
        <w:ind w:left="10" w:right="0"/>
      </w:pPr>
      <w:proofErr w:type="spellStart"/>
      <w:r>
        <w:t>Adherence</w:t>
      </w:r>
      <w:proofErr w:type="spellEnd"/>
      <w:r>
        <w:t xml:space="preserve">. </w:t>
      </w:r>
    </w:p>
    <w:p w:rsidR="00E0069E" w:rsidRDefault="00C37FF7">
      <w:pPr>
        <w:spacing w:after="278" w:line="259" w:lineRule="auto"/>
        <w:ind w:left="0" w:right="0" w:firstLine="0"/>
        <w:jc w:val="left"/>
      </w:pPr>
      <w:r>
        <w:rPr>
          <w:b/>
        </w:rPr>
        <w:t xml:space="preserve"> </w:t>
      </w:r>
    </w:p>
    <w:p w:rsidR="00E0069E" w:rsidRDefault="00C37FF7">
      <w:pPr>
        <w:spacing w:after="0" w:line="259" w:lineRule="auto"/>
        <w:ind w:left="64" w:right="0" w:firstLine="0"/>
        <w:jc w:val="center"/>
      </w:pPr>
      <w:r>
        <w:rPr>
          <w:b/>
        </w:rPr>
        <w:t xml:space="preserve"> </w:t>
      </w:r>
    </w:p>
    <w:p w:rsidR="00E0069E" w:rsidRDefault="00C37FF7">
      <w:pPr>
        <w:spacing w:after="114" w:line="259" w:lineRule="auto"/>
        <w:ind w:left="10" w:right="8"/>
        <w:jc w:val="center"/>
      </w:pPr>
      <w:r>
        <w:rPr>
          <w:b/>
        </w:rPr>
        <w:t xml:space="preserve">SUMÁRIO </w:t>
      </w:r>
    </w:p>
    <w:p w:rsidR="00E0069E" w:rsidRDefault="00C37FF7">
      <w:pPr>
        <w:spacing w:after="278" w:line="259" w:lineRule="auto"/>
        <w:ind w:left="0" w:right="0" w:firstLine="0"/>
        <w:jc w:val="left"/>
      </w:pPr>
      <w:r>
        <w:rPr>
          <w:color w:val="2F5496"/>
        </w:rPr>
        <w:t xml:space="preserve"> </w:t>
      </w:r>
    </w:p>
    <w:sdt>
      <w:sdtPr>
        <w:rPr>
          <w:b w:val="0"/>
        </w:rPr>
        <w:id w:val="1020818142"/>
        <w:docPartObj>
          <w:docPartGallery w:val="Table of Contents"/>
        </w:docPartObj>
      </w:sdtPr>
      <w:sdtEndPr/>
      <w:sdtContent>
        <w:p w:rsidR="00E0069E" w:rsidRDefault="00C37FF7">
          <w:pPr>
            <w:pStyle w:val="Sumrio1"/>
            <w:tabs>
              <w:tab w:val="right" w:pos="9078"/>
            </w:tabs>
          </w:pPr>
          <w:r>
            <w:fldChar w:fldCharType="begin"/>
          </w:r>
          <w:r>
            <w:instrText xml:space="preserve"> TOC \o "1-3" \h \z \u </w:instrText>
          </w:r>
          <w:r>
            <w:fldChar w:fldCharType="separate"/>
          </w:r>
          <w:hyperlink w:anchor="_Toc54270">
            <w:r>
              <w:t>1  INTRODUÇÃO</w:t>
            </w:r>
            <w:r>
              <w:tab/>
            </w:r>
            <w:r>
              <w:fldChar w:fldCharType="begin"/>
            </w:r>
            <w:r>
              <w:instrText>PAGEREF _Toc54270 \h</w:instrText>
            </w:r>
            <w:r>
              <w:fldChar w:fldCharType="separate"/>
            </w:r>
            <w:r>
              <w:t xml:space="preserve">6 </w:t>
            </w:r>
            <w:r>
              <w:fldChar w:fldCharType="end"/>
            </w:r>
          </w:hyperlink>
        </w:p>
        <w:p w:rsidR="00E0069E" w:rsidRDefault="00C37FF7">
          <w:pPr>
            <w:pStyle w:val="Sumrio1"/>
            <w:tabs>
              <w:tab w:val="right" w:pos="9078"/>
            </w:tabs>
          </w:pPr>
          <w:hyperlink w:anchor="_Toc54271">
            <w:r>
              <w:t>2  OBJETIVOS</w:t>
            </w:r>
            <w:r>
              <w:tab/>
            </w:r>
            <w:r>
              <w:fldChar w:fldCharType="begin"/>
            </w:r>
            <w:r>
              <w:instrText>PAGEREF _Toc54271 \h</w:instrText>
            </w:r>
            <w:r>
              <w:fldChar w:fldCharType="separate"/>
            </w:r>
            <w:r>
              <w:t xml:space="preserve">7 </w:t>
            </w:r>
            <w:r>
              <w:fldChar w:fldCharType="end"/>
            </w:r>
          </w:hyperlink>
        </w:p>
        <w:p w:rsidR="00E0069E" w:rsidRDefault="00C37FF7">
          <w:pPr>
            <w:pStyle w:val="Sumrio2"/>
            <w:tabs>
              <w:tab w:val="right" w:pos="9078"/>
            </w:tabs>
          </w:pPr>
          <w:hyperlink w:anchor="_Toc54272">
            <w:r>
              <w:t>2.1  Objetivo Geral</w:t>
            </w:r>
            <w:r>
              <w:tab/>
            </w:r>
            <w:r>
              <w:fldChar w:fldCharType="begin"/>
            </w:r>
            <w:r>
              <w:instrText>PAGEREF _Toc54272 \h</w:instrText>
            </w:r>
            <w:r>
              <w:fldChar w:fldCharType="separate"/>
            </w:r>
            <w:r>
              <w:t xml:space="preserve">7 </w:t>
            </w:r>
            <w:r>
              <w:fldChar w:fldCharType="end"/>
            </w:r>
          </w:hyperlink>
        </w:p>
        <w:p w:rsidR="00E0069E" w:rsidRDefault="00C37FF7">
          <w:pPr>
            <w:pStyle w:val="Sumrio2"/>
            <w:tabs>
              <w:tab w:val="right" w:pos="9078"/>
            </w:tabs>
          </w:pPr>
          <w:hyperlink w:anchor="_Toc54273">
            <w:r>
              <w:t>2.2  Objetivos Específicos</w:t>
            </w:r>
            <w:r>
              <w:tab/>
            </w:r>
            <w:r>
              <w:fldChar w:fldCharType="begin"/>
            </w:r>
            <w:r>
              <w:instrText>PAGEREF _Toc54273 \h</w:instrText>
            </w:r>
            <w:r>
              <w:fldChar w:fldCharType="separate"/>
            </w:r>
            <w:r>
              <w:t xml:space="preserve">7 </w:t>
            </w:r>
            <w:r>
              <w:fldChar w:fldCharType="end"/>
            </w:r>
          </w:hyperlink>
        </w:p>
        <w:p w:rsidR="00E0069E" w:rsidRDefault="00C37FF7">
          <w:pPr>
            <w:pStyle w:val="Sumrio1"/>
            <w:tabs>
              <w:tab w:val="right" w:pos="9078"/>
            </w:tabs>
          </w:pPr>
          <w:hyperlink w:anchor="_Toc54274">
            <w:r>
              <w:t>3  REVISÃO DE LIT</w:t>
            </w:r>
            <w:r>
              <w:t>ERATURA</w:t>
            </w:r>
            <w:r>
              <w:tab/>
            </w:r>
            <w:r>
              <w:fldChar w:fldCharType="begin"/>
            </w:r>
            <w:r>
              <w:instrText>PAGEREF _Toc54274 \h</w:instrText>
            </w:r>
            <w:r>
              <w:fldChar w:fldCharType="separate"/>
            </w:r>
            <w:r>
              <w:t xml:space="preserve">8 </w:t>
            </w:r>
            <w:r>
              <w:fldChar w:fldCharType="end"/>
            </w:r>
          </w:hyperlink>
        </w:p>
        <w:p w:rsidR="00E0069E" w:rsidRDefault="00C37FF7">
          <w:pPr>
            <w:pStyle w:val="Sumrio2"/>
            <w:tabs>
              <w:tab w:val="right" w:pos="9078"/>
            </w:tabs>
          </w:pPr>
          <w:hyperlink w:anchor="_Toc54275">
            <w:r>
              <w:t>3.1  Introdução sobre a ILTB</w:t>
            </w:r>
            <w:r>
              <w:tab/>
            </w:r>
            <w:r>
              <w:fldChar w:fldCharType="begin"/>
            </w:r>
            <w:r>
              <w:instrText>PAGEREF _Toc54275 \h</w:instrText>
            </w:r>
            <w:r>
              <w:fldChar w:fldCharType="separate"/>
            </w:r>
            <w:r>
              <w:t xml:space="preserve">8 </w:t>
            </w:r>
            <w:r>
              <w:fldChar w:fldCharType="end"/>
            </w:r>
          </w:hyperlink>
        </w:p>
        <w:p w:rsidR="00E0069E" w:rsidRDefault="00C37FF7">
          <w:pPr>
            <w:pStyle w:val="Sumrio2"/>
            <w:tabs>
              <w:tab w:val="right" w:pos="9078"/>
            </w:tabs>
          </w:pPr>
          <w:hyperlink w:anchor="_Toc54276">
            <w:r>
              <w:t>3.2  Formas de transmissão</w:t>
            </w:r>
            <w:r>
              <w:tab/>
            </w:r>
            <w:r>
              <w:fldChar w:fldCharType="begin"/>
            </w:r>
            <w:r>
              <w:instrText>PAGEREF _Toc54276 \h</w:instrText>
            </w:r>
            <w:r>
              <w:fldChar w:fldCharType="separate"/>
            </w:r>
            <w:r>
              <w:t xml:space="preserve">8 </w:t>
            </w:r>
            <w:r>
              <w:fldChar w:fldCharType="end"/>
            </w:r>
          </w:hyperlink>
        </w:p>
        <w:p w:rsidR="00E0069E" w:rsidRDefault="00C37FF7">
          <w:pPr>
            <w:pStyle w:val="Sumrio2"/>
            <w:tabs>
              <w:tab w:val="right" w:pos="9078"/>
            </w:tabs>
          </w:pPr>
          <w:hyperlink w:anchor="_Toc54277">
            <w:r>
              <w:t>3.3  Métodos diagnósticos</w:t>
            </w:r>
            <w:r>
              <w:tab/>
            </w:r>
            <w:r>
              <w:fldChar w:fldCharType="begin"/>
            </w:r>
            <w:r>
              <w:instrText>PAGEREF _Toc54277 \h</w:instrText>
            </w:r>
            <w:r>
              <w:fldChar w:fldCharType="separate"/>
            </w:r>
            <w:r>
              <w:t xml:space="preserve">9 </w:t>
            </w:r>
            <w:r>
              <w:fldChar w:fldCharType="end"/>
            </w:r>
          </w:hyperlink>
        </w:p>
        <w:p w:rsidR="00E0069E" w:rsidRDefault="00C37FF7">
          <w:pPr>
            <w:pStyle w:val="Sumrio2"/>
            <w:tabs>
              <w:tab w:val="right" w:pos="9078"/>
            </w:tabs>
          </w:pPr>
          <w:hyperlink w:anchor="_Toc54278">
            <w:r>
              <w:t>3.4  Tratamentos</w:t>
            </w:r>
            <w:r>
              <w:tab/>
            </w:r>
            <w:r>
              <w:fldChar w:fldCharType="begin"/>
            </w:r>
            <w:r>
              <w:instrText>PAGEREF _Toc54278 \h</w:instrText>
            </w:r>
            <w:r>
              <w:fldChar w:fldCharType="separate"/>
            </w:r>
            <w:r>
              <w:t xml:space="preserve">10 </w:t>
            </w:r>
            <w:r>
              <w:fldChar w:fldCharType="end"/>
            </w:r>
          </w:hyperlink>
        </w:p>
        <w:p w:rsidR="00E0069E" w:rsidRDefault="00C37FF7">
          <w:pPr>
            <w:pStyle w:val="Sumrio1"/>
            <w:tabs>
              <w:tab w:val="right" w:pos="9078"/>
            </w:tabs>
          </w:pPr>
          <w:hyperlink w:anchor="_Toc54279">
            <w:r>
              <w:t>4  METODOLOGIA</w:t>
            </w:r>
            <w:r>
              <w:tab/>
            </w:r>
            <w:r>
              <w:fldChar w:fldCharType="begin"/>
            </w:r>
            <w:r>
              <w:instrText>PAGEREF _Toc54279 \h</w:instrText>
            </w:r>
            <w:r>
              <w:fldChar w:fldCharType="separate"/>
            </w:r>
            <w:r>
              <w:t xml:space="preserve">13 </w:t>
            </w:r>
            <w:r>
              <w:fldChar w:fldCharType="end"/>
            </w:r>
          </w:hyperlink>
        </w:p>
        <w:p w:rsidR="00E0069E" w:rsidRDefault="00C37FF7">
          <w:pPr>
            <w:pStyle w:val="Sumrio2"/>
            <w:tabs>
              <w:tab w:val="right" w:pos="9078"/>
            </w:tabs>
          </w:pPr>
          <w:hyperlink w:anchor="_Toc54280">
            <w:r>
              <w:t>4.1  Estratégia de Busca</w:t>
            </w:r>
            <w:r>
              <w:tab/>
            </w:r>
            <w:r>
              <w:fldChar w:fldCharType="begin"/>
            </w:r>
            <w:r>
              <w:instrText>PAGEREF _Toc54280 \h</w:instrText>
            </w:r>
            <w:r>
              <w:fldChar w:fldCharType="separate"/>
            </w:r>
            <w:r>
              <w:t xml:space="preserve">13 </w:t>
            </w:r>
            <w:r>
              <w:fldChar w:fldCharType="end"/>
            </w:r>
          </w:hyperlink>
        </w:p>
        <w:p w:rsidR="00E0069E" w:rsidRDefault="00C37FF7">
          <w:pPr>
            <w:pStyle w:val="Sumrio2"/>
            <w:tabs>
              <w:tab w:val="right" w:pos="9078"/>
            </w:tabs>
          </w:pPr>
          <w:hyperlink w:anchor="_Toc54281">
            <w:r>
              <w:t>7.2  Critérios de I</w:t>
            </w:r>
            <w:r>
              <w:t>nclusão</w:t>
            </w:r>
            <w:r>
              <w:tab/>
            </w:r>
            <w:r>
              <w:fldChar w:fldCharType="begin"/>
            </w:r>
            <w:r>
              <w:instrText>PAGEREF _Toc54281 \h</w:instrText>
            </w:r>
            <w:r>
              <w:fldChar w:fldCharType="separate"/>
            </w:r>
            <w:r>
              <w:t xml:space="preserve">14 </w:t>
            </w:r>
            <w:r>
              <w:fldChar w:fldCharType="end"/>
            </w:r>
          </w:hyperlink>
        </w:p>
        <w:p w:rsidR="00E0069E" w:rsidRDefault="00C37FF7">
          <w:pPr>
            <w:pStyle w:val="Sumrio2"/>
            <w:tabs>
              <w:tab w:val="right" w:pos="9078"/>
            </w:tabs>
          </w:pPr>
          <w:hyperlink w:anchor="_Toc54282">
            <w:r>
              <w:t>7.3  Critérios de Exclusão</w:t>
            </w:r>
            <w:r>
              <w:tab/>
            </w:r>
            <w:r>
              <w:fldChar w:fldCharType="begin"/>
            </w:r>
            <w:r>
              <w:instrText>PAGEREF _Toc54282 \h</w:instrText>
            </w:r>
            <w:r>
              <w:fldChar w:fldCharType="separate"/>
            </w:r>
            <w:r>
              <w:t xml:space="preserve">14 </w:t>
            </w:r>
            <w:r>
              <w:fldChar w:fldCharType="end"/>
            </w:r>
          </w:hyperlink>
        </w:p>
        <w:p w:rsidR="00E0069E" w:rsidRDefault="00C37FF7">
          <w:pPr>
            <w:pStyle w:val="Sumrio2"/>
            <w:tabs>
              <w:tab w:val="right" w:pos="9078"/>
            </w:tabs>
          </w:pPr>
          <w:hyperlink w:anchor="_Toc54283">
            <w:r>
              <w:t>7.4  Variáveis</w:t>
            </w:r>
            <w:r>
              <w:tab/>
            </w:r>
            <w:r>
              <w:fldChar w:fldCharType="begin"/>
            </w:r>
            <w:r>
              <w:instrText>PAGEREF _Toc54283 \h</w:instrText>
            </w:r>
            <w:r>
              <w:fldChar w:fldCharType="separate"/>
            </w:r>
            <w:r>
              <w:t xml:space="preserve">14 </w:t>
            </w:r>
            <w:r>
              <w:fldChar w:fldCharType="end"/>
            </w:r>
          </w:hyperlink>
        </w:p>
        <w:p w:rsidR="00E0069E" w:rsidRDefault="00C37FF7">
          <w:pPr>
            <w:pStyle w:val="Sumrio2"/>
            <w:tabs>
              <w:tab w:val="right" w:pos="9078"/>
            </w:tabs>
          </w:pPr>
          <w:hyperlink w:anchor="_Toc54284">
            <w:r>
              <w:t>7.5  Esquemas de tratamentos</w:t>
            </w:r>
            <w:r>
              <w:tab/>
            </w:r>
            <w:r>
              <w:fldChar w:fldCharType="begin"/>
            </w:r>
            <w:r>
              <w:instrText>PAGEREF _Toc54284 \h</w:instrText>
            </w:r>
            <w:r>
              <w:fldChar w:fldCharType="separate"/>
            </w:r>
            <w:r>
              <w:t xml:space="preserve">14 </w:t>
            </w:r>
            <w:r>
              <w:fldChar w:fldCharType="end"/>
            </w:r>
          </w:hyperlink>
        </w:p>
        <w:p w:rsidR="00E0069E" w:rsidRDefault="00C37FF7">
          <w:pPr>
            <w:pStyle w:val="Sumrio2"/>
            <w:tabs>
              <w:tab w:val="right" w:pos="9078"/>
            </w:tabs>
          </w:pPr>
          <w:hyperlink w:anchor="_Toc54285">
            <w:r>
              <w:t>7.6  Considerações Éticas</w:t>
            </w:r>
            <w:r>
              <w:tab/>
            </w:r>
            <w:r>
              <w:fldChar w:fldCharType="begin"/>
            </w:r>
            <w:r>
              <w:instrText>PAGEREF _Toc54285 \h</w:instrText>
            </w:r>
            <w:r>
              <w:fldChar w:fldCharType="separate"/>
            </w:r>
            <w:r>
              <w:t xml:space="preserve">14 </w:t>
            </w:r>
            <w:r>
              <w:fldChar w:fldCharType="end"/>
            </w:r>
          </w:hyperlink>
        </w:p>
        <w:p w:rsidR="00E0069E" w:rsidRDefault="00C37FF7">
          <w:pPr>
            <w:pStyle w:val="Sumrio1"/>
            <w:tabs>
              <w:tab w:val="right" w:pos="9078"/>
            </w:tabs>
          </w:pPr>
          <w:hyperlink w:anchor="_Toc54286">
            <w:r>
              <w:t>8  RESULTADOS</w:t>
            </w:r>
            <w:r>
              <w:tab/>
            </w:r>
            <w:r>
              <w:fldChar w:fldCharType="begin"/>
            </w:r>
            <w:r>
              <w:instrText>PAGEREF _Toc54286 \h</w:instrText>
            </w:r>
            <w:r>
              <w:fldChar w:fldCharType="separate"/>
            </w:r>
            <w:r>
              <w:t xml:space="preserve">15 </w:t>
            </w:r>
            <w:r>
              <w:fldChar w:fldCharType="end"/>
            </w:r>
          </w:hyperlink>
        </w:p>
        <w:p w:rsidR="00E0069E" w:rsidRDefault="00C37FF7">
          <w:pPr>
            <w:pStyle w:val="Sumrio2"/>
            <w:tabs>
              <w:tab w:val="right" w:pos="9078"/>
            </w:tabs>
          </w:pPr>
          <w:hyperlink w:anchor="_Toc54287">
            <w:r>
              <w:t>8.1  Seleção de estudos</w:t>
            </w:r>
            <w:r>
              <w:tab/>
            </w:r>
            <w:r>
              <w:fldChar w:fldCharType="begin"/>
            </w:r>
            <w:r>
              <w:instrText>PAGEREF _Toc54287 \h</w:instrText>
            </w:r>
            <w:r>
              <w:fldChar w:fldCharType="separate"/>
            </w:r>
            <w:r>
              <w:t xml:space="preserve">15 </w:t>
            </w:r>
            <w:r>
              <w:fldChar w:fldCharType="end"/>
            </w:r>
          </w:hyperlink>
        </w:p>
        <w:p w:rsidR="00E0069E" w:rsidRDefault="00C37FF7">
          <w:pPr>
            <w:pStyle w:val="Sumrio2"/>
            <w:tabs>
              <w:tab w:val="right" w:pos="9078"/>
            </w:tabs>
          </w:pPr>
          <w:hyperlink w:anchor="_Toc54288">
            <w:r>
              <w:t>8.2  Característica</w:t>
            </w:r>
            <w:r>
              <w:t xml:space="preserve"> dos estudos</w:t>
            </w:r>
            <w:r>
              <w:tab/>
            </w:r>
            <w:r>
              <w:fldChar w:fldCharType="begin"/>
            </w:r>
            <w:r>
              <w:instrText>PAGEREF _Toc54288 \h</w:instrText>
            </w:r>
            <w:r>
              <w:fldChar w:fldCharType="separate"/>
            </w:r>
            <w:r>
              <w:t xml:space="preserve">17 </w:t>
            </w:r>
            <w:r>
              <w:fldChar w:fldCharType="end"/>
            </w:r>
          </w:hyperlink>
        </w:p>
        <w:p w:rsidR="00E0069E" w:rsidRDefault="00C37FF7">
          <w:pPr>
            <w:pStyle w:val="Sumrio2"/>
            <w:tabs>
              <w:tab w:val="right" w:pos="9078"/>
            </w:tabs>
          </w:pPr>
          <w:hyperlink w:anchor="_Toc54289">
            <w:r>
              <w:t>8.3  Análise do risco de viés dos Ensaios Clínicos</w:t>
            </w:r>
            <w:r>
              <w:tab/>
            </w:r>
            <w:r>
              <w:fldChar w:fldCharType="begin"/>
            </w:r>
            <w:r>
              <w:instrText>PAGEREF _Toc54289 \h</w:instrText>
            </w:r>
            <w:r>
              <w:fldChar w:fldCharType="separate"/>
            </w:r>
            <w:r>
              <w:t xml:space="preserve">22 </w:t>
            </w:r>
            <w:r>
              <w:fldChar w:fldCharType="end"/>
            </w:r>
          </w:hyperlink>
        </w:p>
        <w:p w:rsidR="00E0069E" w:rsidRDefault="00C37FF7">
          <w:pPr>
            <w:pStyle w:val="Sumrio2"/>
            <w:tabs>
              <w:tab w:val="right" w:pos="9078"/>
            </w:tabs>
          </w:pPr>
          <w:hyperlink w:anchor="_Toc54290">
            <w:r>
              <w:t>8.4  Análise do risco de viés dos Estudos Observacionais</w:t>
            </w:r>
            <w:r>
              <w:tab/>
            </w:r>
            <w:r>
              <w:fldChar w:fldCharType="begin"/>
            </w:r>
            <w:r>
              <w:instrText>PAGEREF _Toc54290 \h</w:instrText>
            </w:r>
            <w:r>
              <w:fldChar w:fldCharType="separate"/>
            </w:r>
            <w:r>
              <w:t xml:space="preserve">24 </w:t>
            </w:r>
            <w:r>
              <w:fldChar w:fldCharType="end"/>
            </w:r>
          </w:hyperlink>
        </w:p>
        <w:p w:rsidR="00E0069E" w:rsidRDefault="00C37FF7">
          <w:pPr>
            <w:pStyle w:val="Sumrio2"/>
            <w:tabs>
              <w:tab w:val="right" w:pos="9078"/>
            </w:tabs>
          </w:pPr>
          <w:hyperlink w:anchor="_Toc54291">
            <w:r>
              <w:t>8.5  Eventos Adversos</w:t>
            </w:r>
            <w:r>
              <w:tab/>
            </w:r>
            <w:r>
              <w:fldChar w:fldCharType="begin"/>
            </w:r>
            <w:r>
              <w:instrText>PAGEREF _To</w:instrText>
            </w:r>
            <w:r>
              <w:instrText>c54291 \h</w:instrText>
            </w:r>
            <w:r>
              <w:fldChar w:fldCharType="separate"/>
            </w:r>
            <w:r>
              <w:t xml:space="preserve">26 </w:t>
            </w:r>
            <w:r>
              <w:fldChar w:fldCharType="end"/>
            </w:r>
          </w:hyperlink>
        </w:p>
        <w:p w:rsidR="00E0069E" w:rsidRDefault="00C37FF7">
          <w:pPr>
            <w:pStyle w:val="Sumrio3"/>
            <w:tabs>
              <w:tab w:val="right" w:pos="9078"/>
            </w:tabs>
          </w:pPr>
          <w:hyperlink w:anchor="_Toc54292">
            <w:r>
              <w:t>8.5.1 Frequência de eventos adversos</w:t>
            </w:r>
            <w:r>
              <w:tab/>
            </w:r>
            <w:r>
              <w:fldChar w:fldCharType="begin"/>
            </w:r>
            <w:r>
              <w:instrText>PAGEREF _Toc54292 \h</w:instrText>
            </w:r>
            <w:r>
              <w:fldChar w:fldCharType="separate"/>
            </w:r>
            <w:r>
              <w:t xml:space="preserve">31 </w:t>
            </w:r>
            <w:r>
              <w:fldChar w:fldCharType="end"/>
            </w:r>
          </w:hyperlink>
        </w:p>
        <w:p w:rsidR="00E0069E" w:rsidRDefault="00C37FF7">
          <w:pPr>
            <w:pStyle w:val="Sumrio2"/>
            <w:tabs>
              <w:tab w:val="right" w:pos="9078"/>
            </w:tabs>
          </w:pPr>
          <w:hyperlink w:anchor="_Toc54293">
            <w:r>
              <w:t>8.6  Adesão ao tratamento</w:t>
            </w:r>
            <w:r>
              <w:tab/>
            </w:r>
            <w:r>
              <w:fldChar w:fldCharType="begin"/>
            </w:r>
            <w:r>
              <w:instrText>PAGEREF _Toc54293 \h</w:instrText>
            </w:r>
            <w:r>
              <w:fldChar w:fldCharType="separate"/>
            </w:r>
            <w:r>
              <w:t xml:space="preserve">34 </w:t>
            </w:r>
            <w:r>
              <w:fldChar w:fldCharType="end"/>
            </w:r>
          </w:hyperlink>
        </w:p>
        <w:p w:rsidR="00E0069E" w:rsidRDefault="00C37FF7">
          <w:pPr>
            <w:pStyle w:val="Sumrio1"/>
            <w:tabs>
              <w:tab w:val="right" w:pos="9078"/>
            </w:tabs>
          </w:pPr>
          <w:hyperlink w:anchor="_Toc54294">
            <w:r>
              <w:t>9  DISCUSSÃO</w:t>
            </w:r>
            <w:r>
              <w:tab/>
            </w:r>
            <w:r>
              <w:fldChar w:fldCharType="begin"/>
            </w:r>
            <w:r>
              <w:instrText>PAGEREF _Toc54294 \h</w:instrText>
            </w:r>
            <w:r>
              <w:fldChar w:fldCharType="separate"/>
            </w:r>
            <w:r>
              <w:t xml:space="preserve">37 </w:t>
            </w:r>
            <w:r>
              <w:fldChar w:fldCharType="end"/>
            </w:r>
          </w:hyperlink>
        </w:p>
        <w:p w:rsidR="00E0069E" w:rsidRDefault="00C37FF7">
          <w:pPr>
            <w:pStyle w:val="Sumrio1"/>
            <w:tabs>
              <w:tab w:val="right" w:pos="9078"/>
            </w:tabs>
          </w:pPr>
          <w:hyperlink w:anchor="_Toc54295">
            <w:r>
              <w:t>10 CONCLUSÃO</w:t>
            </w:r>
            <w:r>
              <w:tab/>
            </w:r>
            <w:r>
              <w:fldChar w:fldCharType="begin"/>
            </w:r>
            <w:r>
              <w:instrText>PAGEREF _Toc54295 \h</w:instrText>
            </w:r>
            <w:r>
              <w:fldChar w:fldCharType="separate"/>
            </w:r>
            <w:r>
              <w:t xml:space="preserve">41 </w:t>
            </w:r>
            <w:r>
              <w:fldChar w:fldCharType="end"/>
            </w:r>
          </w:hyperlink>
        </w:p>
        <w:p w:rsidR="00E0069E" w:rsidRDefault="00C37FF7">
          <w:pPr>
            <w:pStyle w:val="Sumrio1"/>
            <w:tabs>
              <w:tab w:val="right" w:pos="9078"/>
            </w:tabs>
          </w:pPr>
          <w:hyperlink w:anchor="_Toc54296">
            <w:r>
              <w:t>11  REFERÊNCIAS</w:t>
            </w:r>
            <w:r>
              <w:tab/>
            </w:r>
            <w:r>
              <w:fldChar w:fldCharType="begin"/>
            </w:r>
            <w:r>
              <w:instrText>PAGEREF _Toc542</w:instrText>
            </w:r>
            <w:r>
              <w:instrText>96 \h</w:instrText>
            </w:r>
            <w:r>
              <w:fldChar w:fldCharType="separate"/>
            </w:r>
            <w:r>
              <w:t xml:space="preserve">42 </w:t>
            </w:r>
            <w:r>
              <w:fldChar w:fldCharType="end"/>
            </w:r>
          </w:hyperlink>
        </w:p>
        <w:p w:rsidR="00E0069E" w:rsidRDefault="00C37FF7">
          <w:r>
            <w:fldChar w:fldCharType="end"/>
          </w:r>
        </w:p>
      </w:sdtContent>
    </w:sdt>
    <w:p w:rsidR="00E0069E" w:rsidRDefault="00C37FF7">
      <w:pPr>
        <w:pStyle w:val="Ttulo1"/>
        <w:ind w:left="-5" w:right="0"/>
      </w:pPr>
      <w:bookmarkStart w:id="1" w:name="_Toc54270"/>
      <w:proofErr w:type="gramStart"/>
      <w:r>
        <w:t>1  INTRODUÇÃO</w:t>
      </w:r>
      <w:proofErr w:type="gramEnd"/>
      <w:r>
        <w:t xml:space="preserve"> </w:t>
      </w:r>
      <w:bookmarkEnd w:id="1"/>
    </w:p>
    <w:p w:rsidR="00E0069E" w:rsidRDefault="00C37FF7">
      <w:pPr>
        <w:spacing w:after="183" w:line="361" w:lineRule="auto"/>
        <w:ind w:left="-15" w:right="-13" w:firstLine="0"/>
        <w:jc w:val="left"/>
      </w:pPr>
      <w:r>
        <w:t xml:space="preserve">O Mycobacterium </w:t>
      </w:r>
      <w:proofErr w:type="spellStart"/>
      <w:r>
        <w:rPr>
          <w:i/>
        </w:rPr>
        <w:t>tuberculosis</w:t>
      </w:r>
      <w:proofErr w:type="spellEnd"/>
      <w:r>
        <w:t xml:space="preserve">, também conhecido como bacilo de Koch, é a espécie do complexo </w:t>
      </w:r>
      <w:r>
        <w:rPr>
          <w:i/>
        </w:rPr>
        <w:t xml:space="preserve">Mycobacterium </w:t>
      </w:r>
      <w:proofErr w:type="spellStart"/>
      <w:r>
        <w:rPr>
          <w:i/>
        </w:rPr>
        <w:t>tuberculosis</w:t>
      </w:r>
      <w:proofErr w:type="spellEnd"/>
      <w:r>
        <w:t xml:space="preserve"> </w:t>
      </w:r>
      <w:r>
        <w:t xml:space="preserve">responsável por ocasionar a maioria dos casos de Tuberculose (TB) no mundo. Estima-se que essa espécie tem aproximadamente 150.000 anos de existência </w:t>
      </w:r>
      <w:r>
        <w:rPr>
          <w:vertAlign w:val="superscript"/>
        </w:rPr>
        <w:t>1</w:t>
      </w:r>
      <w:r>
        <w:t xml:space="preserve">, mas só foi isolada no ano de 1822 </w:t>
      </w:r>
      <w:r>
        <w:rPr>
          <w:vertAlign w:val="superscript"/>
        </w:rPr>
        <w:t>2</w:t>
      </w:r>
      <w:r>
        <w:t xml:space="preserve">.  </w:t>
      </w:r>
    </w:p>
    <w:p w:rsidR="00E0069E" w:rsidRDefault="00C37FF7">
      <w:pPr>
        <w:ind w:left="10" w:right="0"/>
      </w:pPr>
      <w:r>
        <w:t xml:space="preserve">O </w:t>
      </w:r>
      <w:r>
        <w:rPr>
          <w:i/>
        </w:rPr>
        <w:t xml:space="preserve">M. </w:t>
      </w:r>
      <w:proofErr w:type="spellStart"/>
      <w:r>
        <w:rPr>
          <w:i/>
        </w:rPr>
        <w:t>tuberculosis</w:t>
      </w:r>
      <w:proofErr w:type="spellEnd"/>
      <w:r>
        <w:t xml:space="preserve"> trata-se de um bacilo álcool-ácido resistente </w:t>
      </w:r>
      <w:r>
        <w:t>(BAAR), que devido a sua parede celular ser rica em lipídios</w:t>
      </w:r>
      <w:r>
        <w:rPr>
          <w:vertAlign w:val="superscript"/>
        </w:rPr>
        <w:t>3</w:t>
      </w:r>
      <w:r>
        <w:t>, lhe confere uma baixa permeabilidade e, consequentemente, reduz a eficácia da maioria dos antibióticos. É um bacilo fino, ligeiramente curvo</w:t>
      </w:r>
      <w:r>
        <w:rPr>
          <w:vertAlign w:val="superscript"/>
        </w:rPr>
        <w:t>4</w:t>
      </w:r>
      <w:r>
        <w:t>, imóvel, aeróbio estrito e com crescimento lento, o</w:t>
      </w:r>
      <w:r>
        <w:t xml:space="preserve"> que confere um tempo necessário de 5 dias para que haja a formação de colônia, em uma cultura.  </w:t>
      </w:r>
    </w:p>
    <w:p w:rsidR="00E0069E" w:rsidRDefault="00C37FF7">
      <w:pPr>
        <w:spacing w:after="181"/>
        <w:ind w:left="10" w:right="0"/>
      </w:pPr>
      <w:r>
        <w:lastRenderedPageBreak/>
        <w:t xml:space="preserve">A infecção pelo M. </w:t>
      </w:r>
      <w:proofErr w:type="spellStart"/>
      <w:r>
        <w:rPr>
          <w:i/>
        </w:rPr>
        <w:t>tuberculosis</w:t>
      </w:r>
      <w:proofErr w:type="spellEnd"/>
      <w:r>
        <w:t xml:space="preserve"> pode ocorrer em diversos órgãos, sendo a forma pulmonar a mais comum e a principal fonte de transmissão da tuberculose</w:t>
      </w:r>
      <w:r>
        <w:rPr>
          <w:vertAlign w:val="superscript"/>
        </w:rPr>
        <w:t>5</w:t>
      </w:r>
      <w:r>
        <w:t xml:space="preserve">. Além </w:t>
      </w:r>
      <w:r>
        <w:t>disso, 70% dos casos de TB ativa são, predominantemente, no pulmão</w:t>
      </w:r>
      <w:r>
        <w:rPr>
          <w:vertAlign w:val="superscript"/>
        </w:rPr>
        <w:t>6</w:t>
      </w:r>
      <w:r>
        <w:t xml:space="preserve">. </w:t>
      </w:r>
    </w:p>
    <w:p w:rsidR="00E0069E" w:rsidRDefault="00C37FF7">
      <w:pPr>
        <w:ind w:left="10" w:right="0"/>
      </w:pPr>
      <w:r>
        <w:t xml:space="preserve">A OMS estima que dois bilhões de pessoas no mundo estejam infectadas pelo </w:t>
      </w:r>
      <w:r>
        <w:rPr>
          <w:i/>
        </w:rPr>
        <w:t xml:space="preserve">M. </w:t>
      </w:r>
      <w:proofErr w:type="spellStart"/>
      <w:r>
        <w:rPr>
          <w:i/>
        </w:rPr>
        <w:t>tuberculosis</w:t>
      </w:r>
      <w:proofErr w:type="spellEnd"/>
      <w:r>
        <w:t>, em torno de um quarto da população mundial. Todavia, uma pequena quantidade de pessoas desenvol</w:t>
      </w:r>
      <w:r>
        <w:t>verá TB ativa durante a vida</w:t>
      </w:r>
      <w:r>
        <w:rPr>
          <w:vertAlign w:val="superscript"/>
        </w:rPr>
        <w:t>7</w:t>
      </w:r>
      <w:r>
        <w:t>. Estudos mostram que 5 a 10% dos infectados desenvolvem TB ativa, após 5 anos desde a infecção inicial. Quando um indivíduo apresenta uma resposta imune persistente ao antígeno do M.</w:t>
      </w:r>
      <w:r>
        <w:rPr>
          <w:i/>
        </w:rPr>
        <w:t xml:space="preserve"> </w:t>
      </w:r>
      <w:proofErr w:type="spellStart"/>
      <w:r>
        <w:rPr>
          <w:i/>
        </w:rPr>
        <w:t>tuberculosis</w:t>
      </w:r>
      <w:proofErr w:type="spellEnd"/>
      <w:r>
        <w:t xml:space="preserve"> e </w:t>
      </w:r>
      <w:r>
        <w:t xml:space="preserve">há uma ausência de evidência de manifestações clínicas, ele apresenta infecção latente por M. </w:t>
      </w:r>
      <w:proofErr w:type="spellStart"/>
      <w:r>
        <w:rPr>
          <w:i/>
        </w:rPr>
        <w:t>tuberculosis</w:t>
      </w:r>
      <w:proofErr w:type="spellEnd"/>
      <w:r>
        <w:t xml:space="preserve"> (ILTB)</w:t>
      </w:r>
      <w:r>
        <w:rPr>
          <w:vertAlign w:val="superscript"/>
        </w:rPr>
        <w:t>8</w:t>
      </w:r>
      <w:r>
        <w:t xml:space="preserve">. </w:t>
      </w:r>
    </w:p>
    <w:p w:rsidR="00E0069E" w:rsidRDefault="00C37FF7">
      <w:pPr>
        <w:ind w:left="10" w:right="0"/>
      </w:pPr>
      <w:r>
        <w:t>O diagnóstico e tratamento da ILTB é considerada, pela OMS, uma etapa muito importante para erradicar a TB</w:t>
      </w:r>
      <w:r>
        <w:rPr>
          <w:vertAlign w:val="superscript"/>
        </w:rPr>
        <w:t>8</w:t>
      </w:r>
      <w:r>
        <w:t>. A ILTB pode ser rastreada, seg</w:t>
      </w:r>
      <w:r>
        <w:t xml:space="preserve">undo as definições utilizadas pela American </w:t>
      </w:r>
      <w:proofErr w:type="spellStart"/>
      <w:r>
        <w:t>Thoracic</w:t>
      </w:r>
      <w:proofErr w:type="spellEnd"/>
      <w:r>
        <w:t xml:space="preserve"> Society</w:t>
      </w:r>
      <w:r>
        <w:rPr>
          <w:vertAlign w:val="superscript"/>
        </w:rPr>
        <w:t>9</w:t>
      </w:r>
      <w:r>
        <w:t>, quando um indivíduo possui teste cutâneo tuberculínico (TCT) ou o Teste Interferon-</w:t>
      </w:r>
      <w:proofErr w:type="spellStart"/>
      <w:r>
        <w:t>gamma</w:t>
      </w:r>
      <w:proofErr w:type="spellEnd"/>
      <w:r>
        <w:t xml:space="preserve"> Release </w:t>
      </w:r>
      <w:proofErr w:type="spellStart"/>
      <w:r>
        <w:t>Assay</w:t>
      </w:r>
      <w:proofErr w:type="spellEnd"/>
      <w:r>
        <w:t xml:space="preserve"> (IGRA) com resultado positivo e que não apresenta evidência clínica ou radiográfica de tub</w:t>
      </w:r>
      <w:r>
        <w:t>erculose ativa</w:t>
      </w:r>
      <w:r>
        <w:rPr>
          <w:vertAlign w:val="superscript"/>
        </w:rPr>
        <w:t>10</w:t>
      </w:r>
      <w:r>
        <w:t>. Estima-se que entre os anos 2000 e 2020, 66 milhões de pessoas foram salvas devido ao diagnóstico e tratamento da TB</w:t>
      </w:r>
      <w:r>
        <w:rPr>
          <w:vertAlign w:val="superscript"/>
        </w:rPr>
        <w:t>7</w:t>
      </w:r>
      <w:r>
        <w:t xml:space="preserve">. </w:t>
      </w:r>
    </w:p>
    <w:p w:rsidR="00E0069E" w:rsidRDefault="00C37FF7">
      <w:pPr>
        <w:ind w:left="10" w:right="0"/>
      </w:pPr>
      <w:r>
        <w:t>Os regimes de tratamento da ILTB têm eficácia, em torno de 60 a 90%</w:t>
      </w:r>
      <w:r>
        <w:rPr>
          <w:vertAlign w:val="superscript"/>
        </w:rPr>
        <w:t>8</w:t>
      </w:r>
      <w:r>
        <w:t>. Porém, as taxas de conclusões aos tratamentos va</w:t>
      </w:r>
      <w:r>
        <w:t>riam entre 3 e 60%, nos regimes que têm duração de 6 meses</w:t>
      </w:r>
      <w:r>
        <w:rPr>
          <w:vertAlign w:val="superscript"/>
        </w:rPr>
        <w:t>11</w:t>
      </w:r>
      <w:r>
        <w:t>. Um dos motivos que causam a descontinuação do tratamento são os eventos adversos como, por exemplo, hepatotoxicidade</w:t>
      </w:r>
      <w:r>
        <w:rPr>
          <w:vertAlign w:val="superscript"/>
        </w:rPr>
        <w:t>7</w:t>
      </w:r>
      <w:r>
        <w:t xml:space="preserve">.  </w:t>
      </w:r>
    </w:p>
    <w:p w:rsidR="00E0069E" w:rsidRDefault="00C37FF7">
      <w:pPr>
        <w:spacing w:after="0" w:line="259" w:lineRule="auto"/>
        <w:ind w:left="0" w:right="0" w:firstLine="0"/>
        <w:jc w:val="left"/>
      </w:pPr>
      <w:r>
        <w:rPr>
          <w:rFonts w:ascii="Calibri" w:eastAsia="Calibri" w:hAnsi="Calibri" w:cs="Calibri"/>
          <w:sz w:val="22"/>
        </w:rPr>
        <w:t xml:space="preserve"> </w:t>
      </w:r>
    </w:p>
    <w:p w:rsidR="00E0069E" w:rsidRDefault="00C37FF7">
      <w:pPr>
        <w:pStyle w:val="Ttulo1"/>
        <w:ind w:left="-5" w:right="0"/>
      </w:pPr>
      <w:bookmarkStart w:id="2" w:name="_Toc54271"/>
      <w:proofErr w:type="gramStart"/>
      <w:r>
        <w:t>2  OBJETIVOS</w:t>
      </w:r>
      <w:proofErr w:type="gramEnd"/>
      <w:r>
        <w:t xml:space="preserve"> </w:t>
      </w:r>
      <w:bookmarkEnd w:id="2"/>
    </w:p>
    <w:p w:rsidR="00E0069E" w:rsidRDefault="00C37FF7">
      <w:pPr>
        <w:pStyle w:val="Ttulo2"/>
        <w:ind w:left="514" w:right="0"/>
      </w:pPr>
      <w:bookmarkStart w:id="3" w:name="_Toc54272"/>
      <w:r>
        <w:t xml:space="preserve">2.1 Objetivo Geral </w:t>
      </w:r>
      <w:bookmarkEnd w:id="3"/>
    </w:p>
    <w:p w:rsidR="00E0069E" w:rsidRDefault="00C37FF7">
      <w:pPr>
        <w:ind w:left="10" w:right="0"/>
      </w:pPr>
      <w:r>
        <w:t>Analisar e comparar os eventos advers</w:t>
      </w:r>
      <w:r>
        <w:t xml:space="preserve">os relatados nos diferentes regimes de tratamentos da infecção latente pelo Mycobacterium </w:t>
      </w:r>
      <w:proofErr w:type="spellStart"/>
      <w:r>
        <w:rPr>
          <w:i/>
        </w:rPr>
        <w:t>tuberculosis</w:t>
      </w:r>
      <w:proofErr w:type="spellEnd"/>
      <w:r>
        <w:t xml:space="preserve">.  </w:t>
      </w:r>
    </w:p>
    <w:p w:rsidR="00E0069E" w:rsidRDefault="00C37FF7">
      <w:pPr>
        <w:pStyle w:val="Ttulo2"/>
        <w:ind w:left="514" w:right="0"/>
      </w:pPr>
      <w:bookmarkStart w:id="4" w:name="_Toc54273"/>
      <w:r>
        <w:t xml:space="preserve">2.2 Objetivos Específicos </w:t>
      </w:r>
      <w:bookmarkEnd w:id="4"/>
    </w:p>
    <w:p w:rsidR="00E0069E" w:rsidRDefault="00C37FF7">
      <w:pPr>
        <w:numPr>
          <w:ilvl w:val="0"/>
          <w:numId w:val="1"/>
        </w:numPr>
        <w:spacing w:after="7"/>
        <w:ind w:right="0" w:hanging="360"/>
      </w:pPr>
      <w:r>
        <w:t xml:space="preserve">Descrever os eventos adversos mais comuns relacionados a cada esquema de tratamento. </w:t>
      </w:r>
    </w:p>
    <w:p w:rsidR="00E0069E" w:rsidRDefault="00C37FF7">
      <w:pPr>
        <w:numPr>
          <w:ilvl w:val="0"/>
          <w:numId w:val="1"/>
        </w:numPr>
        <w:ind w:right="0" w:hanging="360"/>
      </w:pPr>
      <w:r>
        <w:t>Avaliar o impacto dos eventos adverso</w:t>
      </w:r>
      <w:r>
        <w:t xml:space="preserve">s na adesão ao tratamento da ILTB entre os diferentes esquemas. </w:t>
      </w:r>
      <w:r>
        <w:tab/>
      </w:r>
      <w:r>
        <w:rPr>
          <w:b/>
        </w:rPr>
        <w:t xml:space="preserve"> </w:t>
      </w:r>
      <w:r>
        <w:br w:type="page"/>
      </w:r>
    </w:p>
    <w:p w:rsidR="00E0069E" w:rsidRDefault="00C37FF7">
      <w:pPr>
        <w:pStyle w:val="Ttulo1"/>
        <w:ind w:left="-5" w:right="0"/>
      </w:pPr>
      <w:bookmarkStart w:id="5" w:name="_Toc54274"/>
      <w:proofErr w:type="gramStart"/>
      <w:r>
        <w:lastRenderedPageBreak/>
        <w:t>3  REVISÃO</w:t>
      </w:r>
      <w:proofErr w:type="gramEnd"/>
      <w:r>
        <w:t xml:space="preserve"> DE LITERATURA  </w:t>
      </w:r>
      <w:bookmarkEnd w:id="5"/>
    </w:p>
    <w:p w:rsidR="00E0069E" w:rsidRDefault="00C37FF7">
      <w:pPr>
        <w:spacing w:after="182"/>
        <w:ind w:left="10" w:right="0"/>
      </w:pPr>
      <w:r>
        <w:t xml:space="preserve">Em 2021, houve 1,6 milhões de mortes devido a infecção por </w:t>
      </w:r>
      <w:r>
        <w:rPr>
          <w:i/>
        </w:rPr>
        <w:t xml:space="preserve">Mycobacterium </w:t>
      </w:r>
      <w:proofErr w:type="spellStart"/>
      <w:r>
        <w:rPr>
          <w:i/>
        </w:rPr>
        <w:t>tuberculosis</w:t>
      </w:r>
      <w:proofErr w:type="spellEnd"/>
      <w:r>
        <w:t xml:space="preserve">. E em 2019, a tuberculose foi </w:t>
      </w:r>
      <w:r>
        <w:t>a 13ª causa de morte em todo o mundo, superando até o HIV/AIDS</w:t>
      </w:r>
      <w:r>
        <w:rPr>
          <w:vertAlign w:val="superscript"/>
        </w:rPr>
        <w:t>7</w:t>
      </w:r>
      <w:r>
        <w:t xml:space="preserve">.  </w:t>
      </w:r>
    </w:p>
    <w:p w:rsidR="00E0069E" w:rsidRDefault="00C37FF7">
      <w:pPr>
        <w:spacing w:after="179"/>
        <w:ind w:left="10" w:right="0"/>
      </w:pPr>
      <w:r>
        <w:t xml:space="preserve">A Tuberculose (TB) é uma doença infecciosa ocasionada por qualquer espécie que compõe o complexo Mycobacterium </w:t>
      </w:r>
      <w:r>
        <w:rPr>
          <w:i/>
        </w:rPr>
        <w:t>tuberculosis</w:t>
      </w:r>
      <w:r>
        <w:rPr>
          <w:vertAlign w:val="superscript"/>
        </w:rPr>
        <w:t>9</w:t>
      </w:r>
      <w:r>
        <w:t>. Sendo o</w:t>
      </w:r>
      <w:r>
        <w:rPr>
          <w:i/>
        </w:rPr>
        <w:t xml:space="preserve"> M. </w:t>
      </w:r>
      <w:proofErr w:type="spellStart"/>
      <w:r>
        <w:rPr>
          <w:i/>
        </w:rPr>
        <w:t>tuberculosis</w:t>
      </w:r>
      <w:proofErr w:type="spellEnd"/>
      <w:r>
        <w:rPr>
          <w:i/>
        </w:rPr>
        <w:t>,</w:t>
      </w:r>
      <w:r>
        <w:t xml:space="preserve"> a espécie mais importante em quesito d</w:t>
      </w:r>
      <w:r>
        <w:t>e saúde pública, no Brasil.</w:t>
      </w:r>
      <w:r>
        <w:rPr>
          <w:i/>
        </w:rPr>
        <w:t xml:space="preserve"> </w:t>
      </w:r>
      <w:r>
        <w:t>Existem duas formas de manifestações clínicas da tuberculose: a pulmonar (PTB) e a extrapulmonar (EPTB). No entanto, a forma pulmonar tem maior prevalência na população e a infecção fica limitada apenas ao pulmão. Todavia, a for</w:t>
      </w:r>
      <w:r>
        <w:t>ma extrapulmonar, com menor prevalência, acomete qualquer órgão do corpo humano que não seja o pulmão como, por exemplo, linfonodos, pleura, pele e articulações</w:t>
      </w:r>
      <w:r>
        <w:rPr>
          <w:vertAlign w:val="superscript"/>
        </w:rPr>
        <w:t>12</w:t>
      </w:r>
      <w:r>
        <w:t xml:space="preserve">.  </w:t>
      </w:r>
    </w:p>
    <w:p w:rsidR="00E0069E" w:rsidRDefault="00C37FF7">
      <w:pPr>
        <w:pStyle w:val="Ttulo2"/>
        <w:ind w:left="514" w:right="0"/>
      </w:pPr>
      <w:bookmarkStart w:id="6" w:name="_Toc54275"/>
      <w:r>
        <w:t xml:space="preserve">3.1 Introdução sobre a ILTB  </w:t>
      </w:r>
      <w:bookmarkEnd w:id="6"/>
    </w:p>
    <w:p w:rsidR="00E0069E" w:rsidRDefault="00C37FF7">
      <w:pPr>
        <w:spacing w:after="177"/>
        <w:ind w:left="10" w:right="0"/>
      </w:pPr>
      <w:r>
        <w:t>Estima-se que em 2014, 1,7 bilhões de pessoas estiveram infe</w:t>
      </w:r>
      <w:r>
        <w:t xml:space="preserve">ctadas pelo </w:t>
      </w:r>
      <w:r>
        <w:rPr>
          <w:i/>
        </w:rPr>
        <w:t xml:space="preserve">M. </w:t>
      </w:r>
      <w:proofErr w:type="spellStart"/>
      <w:r>
        <w:rPr>
          <w:i/>
        </w:rPr>
        <w:t>tuberculosis</w:t>
      </w:r>
      <w:proofErr w:type="spellEnd"/>
      <w:r>
        <w:rPr>
          <w:i/>
        </w:rPr>
        <w:t xml:space="preserve"> </w:t>
      </w:r>
      <w:r>
        <w:t>e não apresentaram sinais e sintomas</w:t>
      </w:r>
      <w:r>
        <w:rPr>
          <w:vertAlign w:val="superscript"/>
        </w:rPr>
        <w:t>13</w:t>
      </w:r>
      <w:r>
        <w:t xml:space="preserve">. Um indivíduo saudável quando é exposto ao M. </w:t>
      </w:r>
      <w:proofErr w:type="spellStart"/>
      <w:r>
        <w:t>tuberculosis</w:t>
      </w:r>
      <w:proofErr w:type="spellEnd"/>
      <w:r>
        <w:t>, apresentam 30% de chance de se infectar</w:t>
      </w:r>
      <w:r>
        <w:rPr>
          <w:vertAlign w:val="superscript"/>
        </w:rPr>
        <w:t>9</w:t>
      </w:r>
      <w:r>
        <w:t>. Entre as pessoas que entram em contato com o bacilo, 5-10% desenvolvem a doença. A gran</w:t>
      </w:r>
      <w:r>
        <w:t>de maioria dos infectados permanecem sem alterações durante muitos anos e desenvolvem imunidade parcial ao bacilo</w:t>
      </w:r>
      <w:r>
        <w:rPr>
          <w:vertAlign w:val="superscript"/>
        </w:rPr>
        <w:t>9</w:t>
      </w:r>
      <w:r>
        <w:t xml:space="preserve">. Esse estado, no qual o indivíduo </w:t>
      </w:r>
      <w:proofErr w:type="spellStart"/>
      <w:r>
        <w:t>encontrase</w:t>
      </w:r>
      <w:proofErr w:type="spellEnd"/>
      <w:r>
        <w:t xml:space="preserve"> é reconhecido como ILTB, e pode ser definido pelo controle imunológico, multiplicação bacteriana</w:t>
      </w:r>
      <w:r>
        <w:t xml:space="preserve"> persistente e ausência de evidência clínica de TB ativa</w:t>
      </w:r>
      <w:r>
        <w:rPr>
          <w:vertAlign w:val="superscript"/>
        </w:rPr>
        <w:t>13</w:t>
      </w:r>
      <w:r>
        <w:t xml:space="preserve">.  </w:t>
      </w:r>
    </w:p>
    <w:p w:rsidR="00E0069E" w:rsidRDefault="00C37FF7">
      <w:pPr>
        <w:pStyle w:val="Ttulo2"/>
        <w:ind w:left="514" w:right="0"/>
      </w:pPr>
      <w:bookmarkStart w:id="7" w:name="_Toc54276"/>
      <w:proofErr w:type="gramStart"/>
      <w:r>
        <w:t>3.2  Formas</w:t>
      </w:r>
      <w:proofErr w:type="gramEnd"/>
      <w:r>
        <w:t xml:space="preserve"> de transmissão  </w:t>
      </w:r>
      <w:bookmarkEnd w:id="7"/>
    </w:p>
    <w:p w:rsidR="00E0069E" w:rsidRDefault="00C37FF7">
      <w:pPr>
        <w:spacing w:after="184"/>
        <w:ind w:left="10" w:right="0"/>
      </w:pPr>
      <w:r>
        <w:t xml:space="preserve">A TB é uma doença de alta transmissibilidade, porém, a probabilidade de ocorrer infecção pelo </w:t>
      </w:r>
      <w:r>
        <w:rPr>
          <w:i/>
        </w:rPr>
        <w:t xml:space="preserve">M. </w:t>
      </w:r>
      <w:proofErr w:type="spellStart"/>
      <w:r>
        <w:rPr>
          <w:i/>
        </w:rPr>
        <w:t>tuberculosis</w:t>
      </w:r>
      <w:proofErr w:type="spellEnd"/>
      <w:r>
        <w:rPr>
          <w:i/>
        </w:rPr>
        <w:t>,</w:t>
      </w:r>
      <w:r>
        <w:t xml:space="preserve"> depende de fatores como número de gotículas infecciosa</w:t>
      </w:r>
      <w:r>
        <w:t>s presentes no ar e o tempo de exposição de um indivíduo suscetível, a essas gotículas</w:t>
      </w:r>
      <w:r>
        <w:rPr>
          <w:vertAlign w:val="superscript"/>
        </w:rPr>
        <w:t>14</w:t>
      </w:r>
      <w:r>
        <w:t xml:space="preserve">. </w:t>
      </w:r>
    </w:p>
    <w:p w:rsidR="00E0069E" w:rsidRDefault="00C37FF7">
      <w:pPr>
        <w:spacing w:after="194"/>
        <w:ind w:left="10" w:right="0"/>
      </w:pPr>
      <w:r>
        <w:t>A forma de transmissão mais comum ocorre, através da eliminação de bacilos oriundos das gotículas, que provém de secreções fisiológicas, advindas de um indivíduo com</w:t>
      </w:r>
      <w:r>
        <w:t xml:space="preserve"> TB pulmonar ou laríngea, e que entram em contato com uma pessoa que </w:t>
      </w:r>
      <w:proofErr w:type="gramStart"/>
      <w:r>
        <w:t>encontra-se</w:t>
      </w:r>
      <w:proofErr w:type="gramEnd"/>
      <w:r>
        <w:t xml:space="preserve"> suscetível</w:t>
      </w:r>
      <w:r>
        <w:rPr>
          <w:vertAlign w:val="superscript"/>
        </w:rPr>
        <w:t>14</w:t>
      </w:r>
      <w:r>
        <w:t xml:space="preserve">. As gotículas que foram exaladas, também conhecidas como gotículas de </w:t>
      </w:r>
      <w:proofErr w:type="spellStart"/>
      <w:r>
        <w:rPr>
          <w:i/>
        </w:rPr>
        <w:t>Pflüger</w:t>
      </w:r>
      <w:proofErr w:type="spellEnd"/>
      <w:r>
        <w:t xml:space="preserve">, secam de forma rápida e diminuem de tamanho, passando </w:t>
      </w:r>
      <w:r>
        <w:lastRenderedPageBreak/>
        <w:t xml:space="preserve">a ser conhecidas como núcleos de </w:t>
      </w:r>
      <w:r>
        <w:rPr>
          <w:i/>
        </w:rPr>
        <w:t>Wells</w:t>
      </w:r>
      <w:r>
        <w:t>. Esses núcleos são compostos por um ou dois bacilos, que normalmente ficam suspensos no ar por horas, e tem um grande potencial de alcançar os alvéolos pulmonares, onde se multiplicam e ocasionam a infecção</w:t>
      </w:r>
      <w:r>
        <w:rPr>
          <w:vertAlign w:val="superscript"/>
        </w:rPr>
        <w:t>9</w:t>
      </w:r>
      <w:r>
        <w:t xml:space="preserve">. </w:t>
      </w:r>
    </w:p>
    <w:p w:rsidR="00E0069E" w:rsidRDefault="00C37FF7">
      <w:pPr>
        <w:ind w:left="10" w:right="0"/>
      </w:pPr>
      <w:r>
        <w:t>Algumas</w:t>
      </w:r>
      <w:r>
        <w:t xml:space="preserve"> condições clínicas aumentam a chance de um indivíduo desenvolver a TB ativa. Alguns fatores de risco são: o tempo de desenvolvimento da infecção ativa da TB, devido ao maior risco nos dois primeiros anos após a exposição; indivíduos com idade menor que do</w:t>
      </w:r>
      <w:r>
        <w:t xml:space="preserve">is anos ou maior que 60 anos; infecção prévia pelo HIV; por fim, doenças e tratamentos imunossupressores. </w:t>
      </w:r>
    </w:p>
    <w:p w:rsidR="00E0069E" w:rsidRDefault="00C37FF7">
      <w:pPr>
        <w:pStyle w:val="Ttulo2"/>
        <w:ind w:left="514" w:right="0"/>
      </w:pPr>
      <w:bookmarkStart w:id="8" w:name="_Toc54277"/>
      <w:proofErr w:type="gramStart"/>
      <w:r>
        <w:t>3.3  Métodos</w:t>
      </w:r>
      <w:proofErr w:type="gramEnd"/>
      <w:r>
        <w:t xml:space="preserve"> diagnósticos  </w:t>
      </w:r>
      <w:bookmarkEnd w:id="8"/>
    </w:p>
    <w:p w:rsidR="00E0069E" w:rsidRDefault="00C37FF7">
      <w:pPr>
        <w:ind w:left="10" w:right="0"/>
      </w:pPr>
      <w:r>
        <w:t>O diagnóstico de TB envolve a avaliação de história clínica, exame físico, métodos de imagem e exames microbiológicos. Os</w:t>
      </w:r>
      <w:r>
        <w:t xml:space="preserve"> principais sintomas da tuberculose pulmonar ativa são: dor torácica, fraqueza, perda ponderal, febre, sudorese noturna, tosse com expectoração e, em alguns casos, hemoptise</w:t>
      </w:r>
      <w:r>
        <w:rPr>
          <w:vertAlign w:val="superscript"/>
        </w:rPr>
        <w:t>13</w:t>
      </w:r>
      <w:r>
        <w:t>. Para o diagnóstico microbiológico devem ser coletadas amostras respiratórias co</w:t>
      </w:r>
      <w:r>
        <w:t xml:space="preserve">mo, por exemplo: escarro, secreção traqueal e lavado </w:t>
      </w:r>
      <w:proofErr w:type="spellStart"/>
      <w:r>
        <w:t>broncoalveolar</w:t>
      </w:r>
      <w:proofErr w:type="spellEnd"/>
      <w:r>
        <w:t>.</w:t>
      </w:r>
      <w:r>
        <w:rPr>
          <w:rFonts w:ascii="Times New Roman" w:eastAsia="Times New Roman" w:hAnsi="Times New Roman" w:cs="Times New Roman"/>
        </w:rPr>
        <w:t xml:space="preserve"> </w:t>
      </w:r>
    </w:p>
    <w:p w:rsidR="00E0069E" w:rsidRDefault="00C37FF7">
      <w:pPr>
        <w:ind w:left="10" w:right="0"/>
      </w:pPr>
      <w:r>
        <w:t>O diagnóstico clínico da TB extrapulmonar depende do local de acometimento da doença. Para serem realizados os exames diagnósticos como, por exemplo, bacteriológico, molecular e histopat</w:t>
      </w:r>
      <w:r>
        <w:t>ológico, é necessário a coleta de amostras dos locais suspeitos, o que torna os procedimentos por vezes mais invasivos, quando comparado a TB pulmonar</w:t>
      </w:r>
      <w:r>
        <w:rPr>
          <w:vertAlign w:val="superscript"/>
        </w:rPr>
        <w:t>14</w:t>
      </w:r>
      <w:r>
        <w:t>.</w:t>
      </w:r>
      <w:r>
        <w:rPr>
          <w:b/>
        </w:rPr>
        <w:t xml:space="preserve"> </w:t>
      </w:r>
      <w:r>
        <w:t>Para diagnosticar a TB ativa, métodos como baciloscopia direta, teste rápido molecular para tuberculos</w:t>
      </w:r>
      <w:r>
        <w:t xml:space="preserve">e (TRM-TB) e cultura para </w:t>
      </w:r>
      <w:proofErr w:type="spellStart"/>
      <w:r>
        <w:t>micobactérias</w:t>
      </w:r>
      <w:proofErr w:type="spellEnd"/>
      <w:r>
        <w:t xml:space="preserve"> podem ser utilizados como diagnóstico principal ou complementar ao diagnóstico clínico. </w:t>
      </w:r>
      <w:r>
        <w:rPr>
          <w:rFonts w:ascii="Times New Roman" w:eastAsia="Times New Roman" w:hAnsi="Times New Roman" w:cs="Times New Roman"/>
        </w:rPr>
        <w:t xml:space="preserve"> </w:t>
      </w:r>
    </w:p>
    <w:p w:rsidR="00E0069E" w:rsidRDefault="00C37FF7">
      <w:pPr>
        <w:ind w:left="10" w:right="0"/>
      </w:pPr>
      <w:r>
        <w:t>A baciloscopia direta é realizara para que haja a pesquisa do bacilo álcool-</w:t>
      </w:r>
      <w:proofErr w:type="spellStart"/>
      <w:r>
        <w:t>ácidoresistente</w:t>
      </w:r>
      <w:proofErr w:type="spellEnd"/>
      <w:r>
        <w:t xml:space="preserve"> (BAAR), através da utilização do m</w:t>
      </w:r>
      <w:r>
        <w:t xml:space="preserve">étodo </w:t>
      </w:r>
      <w:r>
        <w:rPr>
          <w:i/>
        </w:rPr>
        <w:t>Ziehl-Nielsen</w:t>
      </w:r>
      <w:r>
        <w:rPr>
          <w:vertAlign w:val="superscript"/>
        </w:rPr>
        <w:t>10</w:t>
      </w:r>
      <w:r>
        <w:t xml:space="preserve">. No entanto, é necessário que o indivíduo tenha uma alta concentração bacilar e, além disso, esse método possui baixa sensibilidade e não consegue diferenciar o </w:t>
      </w:r>
      <w:r>
        <w:rPr>
          <w:i/>
        </w:rPr>
        <w:t xml:space="preserve">M. </w:t>
      </w:r>
      <w:proofErr w:type="spellStart"/>
      <w:r>
        <w:rPr>
          <w:i/>
        </w:rPr>
        <w:t>tuberculosis</w:t>
      </w:r>
      <w:proofErr w:type="spellEnd"/>
      <w:r>
        <w:t xml:space="preserve"> de outros BAAR</w:t>
      </w:r>
      <w:r>
        <w:rPr>
          <w:vertAlign w:val="superscript"/>
        </w:rPr>
        <w:t>13</w:t>
      </w:r>
      <w:r>
        <w:t xml:space="preserve">. Ademais, o teste molecular reconhecido </w:t>
      </w:r>
      <w:r>
        <w:t>no Brasil como teste</w:t>
      </w:r>
      <w:r>
        <w:rPr>
          <w:rFonts w:ascii="Calibri" w:eastAsia="Calibri" w:hAnsi="Calibri" w:cs="Calibri"/>
        </w:rPr>
        <w:t xml:space="preserve"> </w:t>
      </w:r>
      <w:r>
        <w:t xml:space="preserve">rápido molecular para tuberculose (TRM-TB) é um teste de amplificação de DNA, para a detecção bacilar do M. </w:t>
      </w:r>
      <w:proofErr w:type="spellStart"/>
      <w:r>
        <w:t>tuberculosis</w:t>
      </w:r>
      <w:proofErr w:type="spellEnd"/>
      <w:r>
        <w:t>. O TRM-TB pode ser utilizado na triagem de resistência à rifampicina através da técnica de reação em cadeia polime</w:t>
      </w:r>
      <w:r>
        <w:t xml:space="preserve">rase (PCR), </w:t>
      </w:r>
      <w:r>
        <w:lastRenderedPageBreak/>
        <w:t>sendo indicado para o diagnóstico de TB pulmonar e laríngea, em adolescentes e adultos</w:t>
      </w:r>
      <w:r>
        <w:rPr>
          <w:vertAlign w:val="superscript"/>
        </w:rPr>
        <w:t>14</w:t>
      </w:r>
      <w:r>
        <w:t>. Além disso, estudos mostraram que o TRM-TB quando comparado com a baciloscopia de amostras de escarro de adultos, tem sensibilidade 90% maior</w:t>
      </w:r>
      <w:r>
        <w:rPr>
          <w:vertAlign w:val="superscript"/>
        </w:rPr>
        <w:t>13</w:t>
      </w:r>
      <w:r>
        <w:t>.</w:t>
      </w:r>
      <w:r>
        <w:rPr>
          <w:rFonts w:ascii="Times New Roman" w:eastAsia="Times New Roman" w:hAnsi="Times New Roman" w:cs="Times New Roman"/>
        </w:rPr>
        <w:t xml:space="preserve"> </w:t>
      </w:r>
      <w:r>
        <w:t>A cultura</w:t>
      </w:r>
      <w:r>
        <w:t xml:space="preserve"> é outro método diagnóstico da TB, com elevada especificidade e sensibilidade, que pode aumentar em até 30% a chance de se diagnosticar a doença</w:t>
      </w:r>
      <w:r>
        <w:rPr>
          <w:vertAlign w:val="superscript"/>
        </w:rPr>
        <w:t>10</w:t>
      </w:r>
      <w:r>
        <w:t xml:space="preserve">. </w:t>
      </w:r>
      <w:r>
        <w:rPr>
          <w:rFonts w:ascii="Times New Roman" w:eastAsia="Times New Roman" w:hAnsi="Times New Roman" w:cs="Times New Roman"/>
        </w:rPr>
        <w:t xml:space="preserve"> </w:t>
      </w:r>
    </w:p>
    <w:p w:rsidR="00E0069E" w:rsidRDefault="00C37FF7">
      <w:pPr>
        <w:spacing w:after="176"/>
        <w:ind w:left="10" w:right="0"/>
      </w:pPr>
      <w:r>
        <w:t xml:space="preserve">Atualmente, não há nenhum método que seja ideal para o diagnóstico de ILTB. O Teste cutâneo tuberculínico </w:t>
      </w:r>
      <w:r>
        <w:t xml:space="preserve">(TCT) ou reação de </w:t>
      </w:r>
      <w:proofErr w:type="spellStart"/>
      <w:r>
        <w:t>Mantoux</w:t>
      </w:r>
      <w:proofErr w:type="spellEnd"/>
      <w:r>
        <w:t>, baseia-se em uma reação de hipersensibilidade na pele, após aplicação do derivado de proteína purificado (PPD) via intradérmica. A leitura é realizada 48 a 72 horas após ter sido realizada a aplicação</w:t>
      </w:r>
      <w:r>
        <w:rPr>
          <w:vertAlign w:val="superscript"/>
        </w:rPr>
        <w:t>15</w:t>
      </w:r>
      <w:r>
        <w:t>. O IGRA (</w:t>
      </w:r>
      <w:r>
        <w:rPr>
          <w:i/>
        </w:rPr>
        <w:t xml:space="preserve">Interferon </w:t>
      </w:r>
      <w:proofErr w:type="spellStart"/>
      <w:r>
        <w:rPr>
          <w:i/>
        </w:rPr>
        <w:t>Gamma</w:t>
      </w:r>
      <w:proofErr w:type="spellEnd"/>
      <w:r>
        <w:rPr>
          <w:i/>
        </w:rPr>
        <w:t xml:space="preserve"> Release </w:t>
      </w:r>
      <w:proofErr w:type="spellStart"/>
      <w:r>
        <w:rPr>
          <w:i/>
        </w:rPr>
        <w:t>Assay</w:t>
      </w:r>
      <w:proofErr w:type="spellEnd"/>
      <w:r>
        <w:t xml:space="preserve">) é realizado através da coleta de três amostras de sangues que são colocadas em três tubos, sendo um o controle, contendo apenas heparina, outro contém </w:t>
      </w:r>
      <w:proofErr w:type="spellStart"/>
      <w:r>
        <w:t>fitohemaglutinina</w:t>
      </w:r>
      <w:proofErr w:type="spellEnd"/>
      <w:r>
        <w:t xml:space="preserve"> e o último detém peptídeos específicos para M. </w:t>
      </w:r>
      <w:proofErr w:type="spellStart"/>
      <w:r>
        <w:rPr>
          <w:i/>
        </w:rPr>
        <w:t>tuberculosis</w:t>
      </w:r>
      <w:proofErr w:type="spellEnd"/>
      <w:r>
        <w:t xml:space="preserve"> (ESAT-6, CF</w:t>
      </w:r>
      <w:r>
        <w:t>P-10 e TB7.7). Os tubos devem ser incubados a 37°C por 18 horas e centrifugados, a fim de obter amostras de plasma, e posteriormente, deve ser realizado o teste ELISA</w:t>
      </w:r>
      <w:r>
        <w:rPr>
          <w:vertAlign w:val="superscript"/>
        </w:rPr>
        <w:t>16</w:t>
      </w:r>
      <w:r>
        <w:t xml:space="preserve">. O TCT e os </w:t>
      </w:r>
      <w:proofErr w:type="spellStart"/>
      <w:r>
        <w:t>IGRAs</w:t>
      </w:r>
      <w:proofErr w:type="spellEnd"/>
      <w:r>
        <w:t xml:space="preserve"> (</w:t>
      </w:r>
      <w:r>
        <w:rPr>
          <w:i/>
        </w:rPr>
        <w:t xml:space="preserve">Interferon </w:t>
      </w:r>
      <w:proofErr w:type="spellStart"/>
      <w:r>
        <w:rPr>
          <w:i/>
        </w:rPr>
        <w:t>Gamma</w:t>
      </w:r>
      <w:proofErr w:type="spellEnd"/>
      <w:r>
        <w:rPr>
          <w:i/>
        </w:rPr>
        <w:t xml:space="preserve"> Release </w:t>
      </w:r>
      <w:proofErr w:type="spellStart"/>
      <w:r>
        <w:rPr>
          <w:i/>
        </w:rPr>
        <w:t>Assay</w:t>
      </w:r>
      <w:proofErr w:type="spellEnd"/>
      <w:r>
        <w:t>) detectam a resposta imune do indivíd</w:t>
      </w:r>
      <w:r>
        <w:t xml:space="preserve">uo através das respostas das células T de memória, que demonstram se houve sensibilização aos antígenos do </w:t>
      </w:r>
      <w:r>
        <w:rPr>
          <w:i/>
        </w:rPr>
        <w:t>M. tuberculosis</w:t>
      </w:r>
      <w:r>
        <w:rPr>
          <w:vertAlign w:val="superscript"/>
        </w:rPr>
        <w:t>17</w:t>
      </w:r>
      <w:r>
        <w:rPr>
          <w:i/>
        </w:rPr>
        <w:t>.</w:t>
      </w:r>
      <w:r>
        <w:t xml:space="preserve"> </w:t>
      </w:r>
    </w:p>
    <w:p w:rsidR="00E0069E" w:rsidRDefault="00C37FF7">
      <w:pPr>
        <w:spacing w:after="182"/>
        <w:ind w:left="10" w:right="0"/>
      </w:pPr>
      <w:r>
        <w:t>Por ter baixo custo e ser mais fácil de ser utilizado, o TCT é tradicionalmente utilizado como procedimento para triagem de ILTB.</w:t>
      </w:r>
      <w:r>
        <w:t xml:space="preserve"> Contudo, os </w:t>
      </w:r>
      <w:proofErr w:type="spellStart"/>
      <w:r>
        <w:t>IGRAs</w:t>
      </w:r>
      <w:proofErr w:type="spellEnd"/>
      <w:r>
        <w:t xml:space="preserve"> têm ganhado espaço nas últimas décadas devido ao fato de terem maior especificidade em comparação ao TST</w:t>
      </w:r>
      <w:r>
        <w:rPr>
          <w:vertAlign w:val="superscript"/>
        </w:rPr>
        <w:t>13</w:t>
      </w:r>
      <w:r>
        <w:t xml:space="preserve">. Além disso, os </w:t>
      </w:r>
      <w:proofErr w:type="spellStart"/>
      <w:r>
        <w:t>IGRAs</w:t>
      </w:r>
      <w:proofErr w:type="spellEnd"/>
      <w:r>
        <w:t xml:space="preserve"> não estão sujeitos ao viés do profissional e tem risco de eventos adversos reduzidos, devido ao fato de util</w:t>
      </w:r>
      <w:r>
        <w:t>izar a amostra biológica do próprio indivíduo</w:t>
      </w:r>
      <w:r>
        <w:rPr>
          <w:vertAlign w:val="superscript"/>
        </w:rPr>
        <w:t>9</w:t>
      </w:r>
      <w:r>
        <w:t xml:space="preserve">.  </w:t>
      </w:r>
    </w:p>
    <w:p w:rsidR="00E0069E" w:rsidRDefault="00C37FF7">
      <w:pPr>
        <w:pStyle w:val="Ttulo2"/>
        <w:ind w:left="514" w:right="0"/>
      </w:pPr>
      <w:bookmarkStart w:id="9" w:name="_Toc54278"/>
      <w:proofErr w:type="gramStart"/>
      <w:r>
        <w:t>3.4  Tratamentos</w:t>
      </w:r>
      <w:proofErr w:type="gramEnd"/>
      <w:r>
        <w:t xml:space="preserve">  </w:t>
      </w:r>
      <w:bookmarkEnd w:id="9"/>
    </w:p>
    <w:p w:rsidR="00E0069E" w:rsidRDefault="00C37FF7">
      <w:pPr>
        <w:ind w:left="10" w:right="0"/>
      </w:pPr>
      <w:r>
        <w:t xml:space="preserve">Os principais fármacos utilizados no tratamento da ILTB são: Isoniazida (INH), Rifampicina (RFM) e </w:t>
      </w:r>
      <w:proofErr w:type="spellStart"/>
      <w:r>
        <w:t>Rifapentina</w:t>
      </w:r>
      <w:proofErr w:type="spellEnd"/>
      <w:r>
        <w:t xml:space="preserve"> (RPT) em esquemas de tratamento com duração e frequências de doses diferente</w:t>
      </w:r>
      <w:r>
        <w:t xml:space="preserve">s.  </w:t>
      </w:r>
    </w:p>
    <w:p w:rsidR="00E0069E" w:rsidRDefault="00C37FF7">
      <w:pPr>
        <w:spacing w:after="194"/>
        <w:ind w:left="10" w:right="0"/>
      </w:pPr>
      <w:r>
        <w:t xml:space="preserve">A Isoniazida é o nome genérico dado à </w:t>
      </w:r>
      <w:proofErr w:type="spellStart"/>
      <w:r>
        <w:t>Hidrazida</w:t>
      </w:r>
      <w:proofErr w:type="spellEnd"/>
      <w:r>
        <w:t xml:space="preserve"> do Ácido </w:t>
      </w:r>
      <w:proofErr w:type="spellStart"/>
      <w:r>
        <w:t>Isonicotínico</w:t>
      </w:r>
      <w:proofErr w:type="spellEnd"/>
      <w:r>
        <w:t xml:space="preserve">. É um </w:t>
      </w:r>
      <w:proofErr w:type="spellStart"/>
      <w:r>
        <w:t>tuberculostático</w:t>
      </w:r>
      <w:proofErr w:type="spellEnd"/>
      <w:r>
        <w:t xml:space="preserve"> responsável pela inibição da formação do ácido </w:t>
      </w:r>
      <w:proofErr w:type="spellStart"/>
      <w:r>
        <w:t>micólico</w:t>
      </w:r>
      <w:proofErr w:type="spellEnd"/>
      <w:r>
        <w:t xml:space="preserve"> presente na parede das </w:t>
      </w:r>
      <w:proofErr w:type="spellStart"/>
      <w:r>
        <w:t>micobactérias</w:t>
      </w:r>
      <w:proofErr w:type="spellEnd"/>
      <w:r>
        <w:t xml:space="preserve">, além de </w:t>
      </w:r>
      <w:proofErr w:type="spellStart"/>
      <w:r>
        <w:t>quelar</w:t>
      </w:r>
      <w:proofErr w:type="spellEnd"/>
      <w:r>
        <w:t xml:space="preserve"> íons metálicos utilizados no metabolismo destes </w:t>
      </w:r>
      <w:r>
        <w:t xml:space="preserve">microrganismos. Tem uma absorção rápida por via oral, fazendo pico </w:t>
      </w:r>
      <w:r>
        <w:lastRenderedPageBreak/>
        <w:t>plasmático em torno de 2 horas, possui meia-vida de 45 a 110 minutos e a maior parte da sua excreção é renal. A Isoniazida é contraindicada em pacientes com doença hepática e em pessoas que</w:t>
      </w:r>
      <w:r>
        <w:t xml:space="preserve"> tenham hipersensibilidade à droga. A neurite periférica, comumente precedida de parestesia dos pés e das mãos, é o evento adverso mais comum</w:t>
      </w:r>
      <w:r>
        <w:rPr>
          <w:vertAlign w:val="superscript"/>
        </w:rPr>
        <w:t>18</w:t>
      </w:r>
      <w:r>
        <w:t xml:space="preserve">.  </w:t>
      </w:r>
    </w:p>
    <w:p w:rsidR="00E0069E" w:rsidRDefault="00C37FF7">
      <w:pPr>
        <w:spacing w:after="181"/>
        <w:ind w:left="10" w:right="0"/>
      </w:pPr>
      <w:r>
        <w:t xml:space="preserve">A Rifampicina é um antibiótico semissintético derivado da </w:t>
      </w:r>
      <w:proofErr w:type="spellStart"/>
      <w:r>
        <w:t>rifamicina</w:t>
      </w:r>
      <w:proofErr w:type="spellEnd"/>
      <w:r>
        <w:t>. Tem uma ação bactericida de amplo espectro e age bloqueando a síntese de RNA, cessando a produção de proteínas da célula bacteriana. Tem meia-vida entre 2 e 5 horas e, em sua maior parte</w:t>
      </w:r>
      <w:r>
        <w:t xml:space="preserve">, é excretada via biliar. Como a Isoniazida, é contraindicada em pacientes com insuficiência hepática ou que tenham hipersensibilidade à droga. Os eventos adversos mais comuns são relacionados ao trato gastrointestinal, como: </w:t>
      </w:r>
      <w:proofErr w:type="gramStart"/>
      <w:r>
        <w:t>mal estar</w:t>
      </w:r>
      <w:proofErr w:type="gramEnd"/>
      <w:r>
        <w:t xml:space="preserve"> epigástrico, pirose,</w:t>
      </w:r>
      <w:r>
        <w:t xml:space="preserve"> náuseas, vômitos, anorexia, flatulência e diarreia. Além disso, o paciente pode apresentar suas secreções com coloração </w:t>
      </w:r>
      <w:proofErr w:type="spellStart"/>
      <w:r>
        <w:t>vermelhoamarronzada</w:t>
      </w:r>
      <w:proofErr w:type="spellEnd"/>
      <w:r>
        <w:t xml:space="preserve"> ou alaranjada</w:t>
      </w:r>
      <w:r>
        <w:rPr>
          <w:vertAlign w:val="superscript"/>
        </w:rPr>
        <w:t>19</w:t>
      </w:r>
      <w:r>
        <w:t xml:space="preserve">.  </w:t>
      </w:r>
    </w:p>
    <w:p w:rsidR="00E0069E" w:rsidRDefault="00C37FF7">
      <w:pPr>
        <w:ind w:left="10" w:right="0"/>
      </w:pPr>
      <w:r>
        <w:t xml:space="preserve">Por fim, a </w:t>
      </w:r>
      <w:proofErr w:type="spellStart"/>
      <w:r>
        <w:t>Rifapentina</w:t>
      </w:r>
      <w:proofErr w:type="spellEnd"/>
      <w:r>
        <w:t xml:space="preserve"> ou RPT, é um </w:t>
      </w:r>
      <w:proofErr w:type="spellStart"/>
      <w:r>
        <w:t>tuberculostático</w:t>
      </w:r>
      <w:proofErr w:type="spellEnd"/>
      <w:r>
        <w:t xml:space="preserve"> da classe da </w:t>
      </w:r>
      <w:proofErr w:type="spellStart"/>
      <w:r>
        <w:t>rifamicina</w:t>
      </w:r>
      <w:proofErr w:type="spellEnd"/>
      <w:r>
        <w:t>. Indicado para paci</w:t>
      </w:r>
      <w:r>
        <w:t xml:space="preserve">entes com idade igual ou maior que 2 anos, sempre em combinação com a INH. É usado via oral, tem pico de concentração entre 5 e 6 horas e é excretado por via fecal. Tem contraindicação para pacientes com hipersensibilidade às </w:t>
      </w:r>
      <w:proofErr w:type="spellStart"/>
      <w:r>
        <w:t>rifamicinas</w:t>
      </w:r>
      <w:proofErr w:type="spellEnd"/>
      <w:r>
        <w:t xml:space="preserve"> e os eventos adver</w:t>
      </w:r>
      <w:r>
        <w:t>sos mais comuns ao tratamento com esse fármaco é a hepatotoxicidade, hipersensibilidade, gripe, neutropenia e hipotensão</w:t>
      </w:r>
      <w:r>
        <w:rPr>
          <w:vertAlign w:val="superscript"/>
        </w:rPr>
        <w:t>20</w:t>
      </w:r>
      <w:r>
        <w:t xml:space="preserve">.  </w:t>
      </w:r>
    </w:p>
    <w:p w:rsidR="00E0069E" w:rsidRDefault="00C37FF7">
      <w:pPr>
        <w:spacing w:after="182"/>
        <w:ind w:left="10" w:right="0"/>
      </w:pPr>
      <w:r>
        <w:t>Diagnosticar e tratar indivíduos com ILTB é uma medida de prevenção muito importante, principalmente em pessoas que têm contato co</w:t>
      </w:r>
      <w:r>
        <w:t>m casos de TB pulmonar, indivíduos com HIV e outras situações de imunossupressão. Idade, resultado do TST ou IGRA, risco de ILTB e de adoecimento, são questões que devem ser consideradas ao indicar o tratamento da ILTB</w:t>
      </w:r>
      <w:r>
        <w:rPr>
          <w:vertAlign w:val="superscript"/>
        </w:rPr>
        <w:t>9</w:t>
      </w:r>
      <w:r>
        <w:t xml:space="preserve">. </w:t>
      </w:r>
    </w:p>
    <w:p w:rsidR="00E0069E" w:rsidRDefault="00C37FF7">
      <w:pPr>
        <w:spacing w:after="192"/>
        <w:ind w:left="10" w:right="0"/>
      </w:pPr>
      <w:r>
        <w:t>Atualmente, no Brasil existe o regime de tratamento com Isoniazida e com Rifampicina. O regime com isoniazida é o esquema de tratamento preferencial e tem duração entre 6 e 9 meses, podendo ser estendido até 12 meses. É recomendado que se faça o uso de 270</w:t>
      </w:r>
      <w:r>
        <w:t xml:space="preserve"> doses durante o tempo de tratamento. Por fim, o regime de tratamento com rifampicina é indicado, preferencialmente, para pessoas com idade maior que 50 anos, crianças menores de 10 anos, hepatopatias, bacilos resistentes e pessoas intolerantes à Isoniazid</w:t>
      </w:r>
      <w:r>
        <w:t xml:space="preserve">a. O tratamento deve durar em torno de 4 meses, </w:t>
      </w:r>
      <w:r>
        <w:lastRenderedPageBreak/>
        <w:t>podendo estender até 6 meses, e é indicado que o indivíduo faça uso de, no mínimo, 120 doses</w:t>
      </w:r>
      <w:r>
        <w:rPr>
          <w:vertAlign w:val="superscript"/>
        </w:rPr>
        <w:t>9</w:t>
      </w:r>
      <w:r>
        <w:t xml:space="preserve">.  </w:t>
      </w:r>
    </w:p>
    <w:p w:rsidR="00E0069E" w:rsidRDefault="00C37FF7">
      <w:pPr>
        <w:spacing w:after="181"/>
        <w:ind w:left="10" w:right="0"/>
      </w:pPr>
      <w:r>
        <w:t>Desde 2022, o Ministério da Saúde (MS) incorporou ao Sistema Único de Saúde (SUS), um novo tratamento para ILTB</w:t>
      </w:r>
      <w:r>
        <w:t xml:space="preserve">, o esquema 3HP, composto por </w:t>
      </w:r>
      <w:proofErr w:type="spellStart"/>
      <w:r>
        <w:t>rifapentina</w:t>
      </w:r>
      <w:proofErr w:type="spellEnd"/>
      <w:r>
        <w:t xml:space="preserve"> em conjunto à isoniazida. Segundo o MS, devido esse esquema ter menor tempo de tratamento, acaba contribuindo nas taxas de adesão e conclusão do tratamento</w:t>
      </w:r>
      <w:r>
        <w:rPr>
          <w:vertAlign w:val="superscript"/>
        </w:rPr>
        <w:t>21</w:t>
      </w:r>
      <w:r>
        <w:t xml:space="preserve">. </w:t>
      </w:r>
    </w:p>
    <w:p w:rsidR="00E0069E" w:rsidRDefault="00C37FF7">
      <w:pPr>
        <w:spacing w:after="188"/>
        <w:ind w:left="10" w:right="0"/>
      </w:pPr>
      <w:r>
        <w:t>Um grande problema relacionado ao tratamento da ILTB é</w:t>
      </w:r>
      <w:r>
        <w:t xml:space="preserve"> a sua descontinuação. Sendo a frequência de eventos adversos, o principal motivo</w:t>
      </w:r>
      <w:r>
        <w:rPr>
          <w:vertAlign w:val="superscript"/>
        </w:rPr>
        <w:t>22</w:t>
      </w:r>
      <w:r>
        <w:t>. São considerados eventos adversos graves, relacionados aos tratamentos, a hepatotoxicidade e hepatite clínica</w:t>
      </w:r>
      <w:r>
        <w:rPr>
          <w:vertAlign w:val="superscript"/>
        </w:rPr>
        <w:t>17</w:t>
      </w:r>
      <w:r>
        <w:t xml:space="preserve">. Para enfrentar esse problema e melhorar a adesão, regimes </w:t>
      </w:r>
      <w:r>
        <w:t>com menor tempo de duração e com menos eventos adversos, acabam sendo os mais indicados</w:t>
      </w:r>
      <w:r>
        <w:rPr>
          <w:vertAlign w:val="superscript"/>
        </w:rPr>
        <w:t>22</w:t>
      </w:r>
      <w:r>
        <w:t xml:space="preserve">. </w:t>
      </w:r>
    </w:p>
    <w:p w:rsidR="00E0069E" w:rsidRDefault="00C37FF7">
      <w:pPr>
        <w:spacing w:after="279" w:line="259" w:lineRule="auto"/>
        <w:ind w:left="0" w:right="0" w:firstLine="0"/>
        <w:jc w:val="left"/>
      </w:pPr>
      <w:r>
        <w:t xml:space="preserve"> </w:t>
      </w:r>
    </w:p>
    <w:p w:rsidR="00E0069E" w:rsidRDefault="00C37FF7">
      <w:pPr>
        <w:spacing w:after="0" w:line="259" w:lineRule="auto"/>
        <w:ind w:left="0" w:right="0" w:firstLine="0"/>
        <w:jc w:val="left"/>
      </w:pPr>
      <w:r>
        <w:t xml:space="preserve"> </w:t>
      </w:r>
      <w:r>
        <w:tab/>
        <w:t xml:space="preserve"> </w:t>
      </w:r>
      <w:r>
        <w:br w:type="page"/>
      </w:r>
    </w:p>
    <w:p w:rsidR="00E0069E" w:rsidRDefault="00C37FF7">
      <w:pPr>
        <w:pStyle w:val="Ttulo1"/>
        <w:ind w:left="-5" w:right="0"/>
      </w:pPr>
      <w:bookmarkStart w:id="10" w:name="_Toc54279"/>
      <w:r>
        <w:lastRenderedPageBreak/>
        <w:t xml:space="preserve">4 METODOLOGIA   </w:t>
      </w:r>
      <w:bookmarkEnd w:id="10"/>
    </w:p>
    <w:p w:rsidR="00E0069E" w:rsidRDefault="00C37FF7">
      <w:pPr>
        <w:pStyle w:val="Ttulo2"/>
        <w:ind w:left="514" w:right="0"/>
      </w:pPr>
      <w:bookmarkStart w:id="11" w:name="_Toc54280"/>
      <w:r>
        <w:t xml:space="preserve">4.1 Estratégia de Busca </w:t>
      </w:r>
      <w:bookmarkEnd w:id="11"/>
    </w:p>
    <w:p w:rsidR="00E0069E" w:rsidRDefault="00C37FF7">
      <w:pPr>
        <w:spacing w:after="114" w:line="259" w:lineRule="auto"/>
        <w:ind w:left="10" w:right="0"/>
      </w:pPr>
      <w:r>
        <w:t xml:space="preserve">A busca e seleção de artigos foi realizada nas bases de dados eletrônicos </w:t>
      </w:r>
      <w:proofErr w:type="spellStart"/>
      <w:r>
        <w:t>PubMed</w:t>
      </w:r>
      <w:proofErr w:type="spellEnd"/>
      <w:r>
        <w:t xml:space="preserve"> </w:t>
      </w:r>
    </w:p>
    <w:p w:rsidR="00E0069E" w:rsidRDefault="00C37FF7">
      <w:pPr>
        <w:ind w:left="10" w:right="0"/>
      </w:pPr>
      <w:r>
        <w:t>(</w:t>
      </w:r>
      <w:proofErr w:type="spellStart"/>
      <w:r>
        <w:rPr>
          <w:i/>
        </w:rPr>
        <w:t>Public</w:t>
      </w:r>
      <w:proofErr w:type="spellEnd"/>
      <w:r>
        <w:rPr>
          <w:i/>
        </w:rPr>
        <w:t xml:space="preserve"> Medical </w:t>
      </w:r>
      <w:proofErr w:type="spellStart"/>
      <w:r>
        <w:rPr>
          <w:i/>
        </w:rPr>
        <w:t>Literature</w:t>
      </w:r>
      <w:proofErr w:type="spellEnd"/>
      <w:r>
        <w:rPr>
          <w:i/>
        </w:rPr>
        <w:t xml:space="preserve"> </w:t>
      </w:r>
      <w:proofErr w:type="spellStart"/>
      <w:r>
        <w:rPr>
          <w:i/>
        </w:rPr>
        <w:t>Analys</w:t>
      </w:r>
      <w:r>
        <w:rPr>
          <w:i/>
        </w:rPr>
        <w:t>is</w:t>
      </w:r>
      <w:proofErr w:type="spellEnd"/>
      <w:r>
        <w:rPr>
          <w:i/>
        </w:rPr>
        <w:t xml:space="preserve"> </w:t>
      </w:r>
      <w:proofErr w:type="spellStart"/>
      <w:r>
        <w:rPr>
          <w:i/>
        </w:rPr>
        <w:t>and</w:t>
      </w:r>
      <w:proofErr w:type="spellEnd"/>
      <w:r>
        <w:rPr>
          <w:i/>
        </w:rPr>
        <w:t xml:space="preserve"> </w:t>
      </w:r>
      <w:proofErr w:type="spellStart"/>
      <w:r>
        <w:rPr>
          <w:i/>
        </w:rPr>
        <w:t>Retrieval</w:t>
      </w:r>
      <w:proofErr w:type="spellEnd"/>
      <w:r>
        <w:rPr>
          <w:i/>
        </w:rPr>
        <w:t xml:space="preserve"> System Online</w:t>
      </w:r>
      <w:r>
        <w:t xml:space="preserve">), </w:t>
      </w:r>
      <w:proofErr w:type="spellStart"/>
      <w:r>
        <w:t>SciElo</w:t>
      </w:r>
      <w:proofErr w:type="spellEnd"/>
      <w:r>
        <w:t>, Biblioteca Virtual de Saúde (BVS) e LILACS.</w:t>
      </w:r>
      <w:r>
        <w:rPr>
          <w:sz w:val="28"/>
        </w:rPr>
        <w:t xml:space="preserve"> </w:t>
      </w:r>
      <w:r>
        <w:t xml:space="preserve">Empregou-se os descritores que foram apresentados pelo </w:t>
      </w:r>
      <w:r>
        <w:rPr>
          <w:i/>
        </w:rPr>
        <w:t xml:space="preserve">Medical </w:t>
      </w:r>
      <w:proofErr w:type="spellStart"/>
      <w:r>
        <w:rPr>
          <w:i/>
        </w:rPr>
        <w:t>Subject</w:t>
      </w:r>
      <w:proofErr w:type="spellEnd"/>
      <w:r>
        <w:rPr>
          <w:i/>
        </w:rPr>
        <w:t xml:space="preserve"> </w:t>
      </w:r>
      <w:proofErr w:type="spellStart"/>
      <w:r>
        <w:rPr>
          <w:i/>
        </w:rPr>
        <w:t>Headings</w:t>
      </w:r>
      <w:proofErr w:type="spellEnd"/>
      <w:r>
        <w:t xml:space="preserve"> (</w:t>
      </w:r>
      <w:proofErr w:type="spellStart"/>
      <w:r>
        <w:t>MeSH</w:t>
      </w:r>
      <w:proofErr w:type="spellEnd"/>
      <w:r>
        <w:t>) e pelo Descritores em Ciências da Saúde (</w:t>
      </w:r>
      <w:proofErr w:type="spellStart"/>
      <w:r>
        <w:t>DeCs</w:t>
      </w:r>
      <w:proofErr w:type="spellEnd"/>
      <w:r>
        <w:t xml:space="preserve">). </w:t>
      </w:r>
      <w:proofErr w:type="spellStart"/>
      <w:r w:rsidRPr="00C37FF7">
        <w:rPr>
          <w:lang w:val="en-US"/>
        </w:rPr>
        <w:t>Utilizando</w:t>
      </w:r>
      <w:proofErr w:type="spellEnd"/>
      <w:r w:rsidRPr="00C37FF7">
        <w:rPr>
          <w:lang w:val="en-US"/>
        </w:rPr>
        <w:t xml:space="preserve"> as </w:t>
      </w:r>
      <w:proofErr w:type="spellStart"/>
      <w:r w:rsidRPr="00C37FF7">
        <w:rPr>
          <w:lang w:val="en-US"/>
        </w:rPr>
        <w:t>palavras</w:t>
      </w:r>
      <w:proofErr w:type="spellEnd"/>
      <w:r w:rsidRPr="00C37FF7">
        <w:rPr>
          <w:lang w:val="en-US"/>
        </w:rPr>
        <w:t xml:space="preserve"> </w:t>
      </w:r>
      <w:proofErr w:type="spellStart"/>
      <w:r w:rsidRPr="00C37FF7">
        <w:rPr>
          <w:lang w:val="en-US"/>
        </w:rPr>
        <w:t>chaves</w:t>
      </w:r>
      <w:proofErr w:type="spellEnd"/>
      <w:r w:rsidRPr="00C37FF7">
        <w:rPr>
          <w:lang w:val="en-US"/>
        </w:rPr>
        <w:t xml:space="preserve"> “</w:t>
      </w:r>
      <w:r w:rsidRPr="00C37FF7">
        <w:rPr>
          <w:i/>
          <w:color w:val="212529"/>
          <w:lang w:val="en-US"/>
        </w:rPr>
        <w:t>Laten</w:t>
      </w:r>
      <w:r w:rsidRPr="00C37FF7">
        <w:rPr>
          <w:i/>
          <w:color w:val="212529"/>
          <w:lang w:val="en-US"/>
        </w:rPr>
        <w:t>t Tuberculosis infection”, “Latent Mycobacterium tuberculosis infection”, “Treatment”, “Adverse Events”, “</w:t>
      </w:r>
      <w:proofErr w:type="spellStart"/>
      <w:r w:rsidRPr="00C37FF7">
        <w:rPr>
          <w:i/>
          <w:color w:val="212529"/>
          <w:lang w:val="en-US"/>
        </w:rPr>
        <w:t>DrugRelated</w:t>
      </w:r>
      <w:proofErr w:type="spellEnd"/>
      <w:r w:rsidRPr="00C37FF7">
        <w:rPr>
          <w:i/>
          <w:color w:val="212529"/>
          <w:lang w:val="en-US"/>
        </w:rPr>
        <w:t xml:space="preserve"> Side Effects”, “Adverse Reactions”, “Adherence”.</w:t>
      </w:r>
      <w:r w:rsidRPr="00C37FF7">
        <w:rPr>
          <w:color w:val="212529"/>
          <w:lang w:val="en-US"/>
        </w:rPr>
        <w:t xml:space="preserve"> </w:t>
      </w:r>
      <w:r>
        <w:rPr>
          <w:color w:val="212529"/>
        </w:rPr>
        <w:t>Foram utilizados os operadores booleanos “</w:t>
      </w:r>
      <w:r>
        <w:rPr>
          <w:i/>
          <w:color w:val="212529"/>
        </w:rPr>
        <w:t>AND” e “OR</w:t>
      </w:r>
      <w:r>
        <w:rPr>
          <w:color w:val="212529"/>
        </w:rPr>
        <w:t>” nos métodos de busca que se realiza</w:t>
      </w:r>
      <w:r>
        <w:rPr>
          <w:color w:val="212529"/>
        </w:rPr>
        <w:t xml:space="preserve">ram até outubro de 2023. </w:t>
      </w:r>
    </w:p>
    <w:p w:rsidR="00E0069E" w:rsidRDefault="00C37FF7">
      <w:pPr>
        <w:ind w:left="10" w:right="0"/>
      </w:pPr>
      <w:r>
        <w:t>A análise inicial dos artigos foi baseada nas informações presentes no título e resumo. Caso o resumo não trouxesse informações suficientes para que os critérios de inclusão fossem identificados, o artigo foi lido na íntegra. O pr</w:t>
      </w:r>
      <w:r>
        <w:t xml:space="preserve">ocesso foi inteiramente realizado por dois revisores de forma independente. Os artigos selecionados e lidos integralmente foram avaliados em qualidade metodológica e, também avaliados, se atenderam aos critérios pré-estabelecidos. </w:t>
      </w:r>
    </w:p>
    <w:p w:rsidR="00E0069E" w:rsidRDefault="00C37FF7">
      <w:pPr>
        <w:ind w:left="10" w:right="0"/>
      </w:pPr>
      <w:r>
        <w:t xml:space="preserve">O JADAD é a </w:t>
      </w:r>
      <w:r>
        <w:t>escala que será utilizada para avaliar a qualidade metodológica dos ensaios clínicos incluídos na revisão. O JADAD consiste em uma escala que utiliza cinco perguntas e cada pergunta vale um ponto. Foram somadas às pontuações e considerada um estudo de alta</w:t>
      </w:r>
      <w:r>
        <w:t xml:space="preserve"> qualidade quando soma 3 ou mais pontos e de baixa qualidade quando tem menos de 3 pontos.  </w:t>
      </w:r>
    </w:p>
    <w:p w:rsidR="00E0069E" w:rsidRDefault="00C37FF7">
      <w:pPr>
        <w:ind w:left="10" w:right="0"/>
      </w:pPr>
      <w:r>
        <w:t xml:space="preserve">Para avaliar a qualidade metodológica de estudos observacionais, utilizamos as ferramentas do Joanna </w:t>
      </w:r>
      <w:proofErr w:type="spellStart"/>
      <w:r>
        <w:t>Briggs</w:t>
      </w:r>
      <w:proofErr w:type="spellEnd"/>
      <w:r>
        <w:t xml:space="preserve"> </w:t>
      </w:r>
      <w:proofErr w:type="spellStart"/>
      <w:r>
        <w:t>Institute</w:t>
      </w:r>
      <w:proofErr w:type="spellEnd"/>
      <w:r>
        <w:t xml:space="preserve"> (JBI). Essas ferramentas foram desenvolvidas </w:t>
      </w:r>
      <w:r>
        <w:t>pelo Comitê Científico da JBI e apresentam, através de um questionário, perguntas que podem ser respondidas com “sim</w:t>
      </w:r>
      <w:proofErr w:type="gramStart"/>
      <w:r>
        <w:t>”,  “</w:t>
      </w:r>
      <w:proofErr w:type="gramEnd"/>
      <w:r>
        <w:t>não”, “inconclusivo” ou “não se aplica”. No fim do questionário, realizamos uma análise e classificamos os estudos em “alto risco”, “ba</w:t>
      </w:r>
      <w:r>
        <w:t xml:space="preserve">ixo risco” ou “risco indeterminado” de viés.    </w:t>
      </w:r>
    </w:p>
    <w:p w:rsidR="00E0069E" w:rsidRDefault="00C37FF7">
      <w:pPr>
        <w:spacing w:after="278" w:line="259" w:lineRule="auto"/>
        <w:ind w:left="0" w:right="0" w:firstLine="0"/>
        <w:jc w:val="left"/>
      </w:pPr>
      <w:r>
        <w:t xml:space="preserve"> </w:t>
      </w:r>
    </w:p>
    <w:p w:rsidR="00E0069E" w:rsidRDefault="00C37FF7">
      <w:pPr>
        <w:spacing w:after="0" w:line="259" w:lineRule="auto"/>
        <w:ind w:left="0" w:right="0" w:firstLine="0"/>
        <w:jc w:val="left"/>
      </w:pPr>
      <w:r>
        <w:t xml:space="preserve"> </w:t>
      </w:r>
    </w:p>
    <w:p w:rsidR="00E0069E" w:rsidRDefault="00C37FF7">
      <w:pPr>
        <w:pStyle w:val="Ttulo2"/>
        <w:ind w:left="514" w:right="0"/>
      </w:pPr>
      <w:bookmarkStart w:id="12" w:name="_Toc54281"/>
      <w:r>
        <w:lastRenderedPageBreak/>
        <w:t xml:space="preserve">7.2 Critérios de Inclusão </w:t>
      </w:r>
      <w:bookmarkEnd w:id="12"/>
    </w:p>
    <w:p w:rsidR="00E0069E" w:rsidRDefault="00C37FF7">
      <w:pPr>
        <w:ind w:left="10" w:right="0"/>
      </w:pPr>
      <w:r>
        <w:t>Os critérios de inclusão utilizados na seleção dos artigos consistem em ensaios clínicos</w:t>
      </w:r>
      <w:r>
        <w:rPr>
          <w:color w:val="FF0000"/>
        </w:rPr>
        <w:t xml:space="preserve"> </w:t>
      </w:r>
      <w:r>
        <w:t>e estudos observacionais que foram publicados nos idiomas inglês, português e espanhol,</w:t>
      </w:r>
      <w:r>
        <w:t xml:space="preserve"> que avaliaram pacientes diagnosticados e tratados para ILTB entre os anos de 2012 e 2022.  </w:t>
      </w:r>
    </w:p>
    <w:p w:rsidR="00E0069E" w:rsidRDefault="00C37FF7">
      <w:pPr>
        <w:pStyle w:val="Ttulo2"/>
        <w:ind w:left="514" w:right="0"/>
      </w:pPr>
      <w:bookmarkStart w:id="13" w:name="_Toc54282"/>
      <w:r>
        <w:t xml:space="preserve">7.3 Critérios de Exclusão </w:t>
      </w:r>
      <w:bookmarkEnd w:id="13"/>
    </w:p>
    <w:p w:rsidR="00E0069E" w:rsidRDefault="00C37FF7">
      <w:pPr>
        <w:ind w:left="10" w:right="0"/>
      </w:pPr>
      <w:r>
        <w:t xml:space="preserve">Adotamos como critério de exclusão, estudos que sejam relato de caso, revisão, série de caso, intervenção piloto e resumos apresentados </w:t>
      </w:r>
      <w:r>
        <w:t xml:space="preserve">em eventos.  </w:t>
      </w:r>
    </w:p>
    <w:p w:rsidR="00E0069E" w:rsidRDefault="00C37FF7">
      <w:pPr>
        <w:pStyle w:val="Ttulo2"/>
        <w:ind w:left="514" w:right="0"/>
      </w:pPr>
      <w:bookmarkStart w:id="14" w:name="_Toc54283"/>
      <w:r>
        <w:t xml:space="preserve">7.4 Variáveis </w:t>
      </w:r>
      <w:bookmarkEnd w:id="14"/>
    </w:p>
    <w:p w:rsidR="00E0069E" w:rsidRDefault="00C37FF7">
      <w:pPr>
        <w:ind w:left="10" w:right="0"/>
      </w:pPr>
      <w:r>
        <w:t>Avaliamos as variáveis em relação ao tipo de esquema de tratamento e os medicamentos utilizados, o tempo de tratamento proposto, o impacto na adesão a esses tratamentos e os eventos adversos relatados pelos artigos que serão in</w:t>
      </w:r>
      <w:r>
        <w:t xml:space="preserve">cluídos. </w:t>
      </w:r>
    </w:p>
    <w:p w:rsidR="00E0069E" w:rsidRDefault="00C37FF7">
      <w:pPr>
        <w:pStyle w:val="Ttulo2"/>
        <w:spacing w:after="155" w:line="363" w:lineRule="auto"/>
        <w:ind w:right="0"/>
        <w:jc w:val="both"/>
      </w:pPr>
      <w:bookmarkStart w:id="15" w:name="_Toc54284"/>
      <w:r>
        <w:t xml:space="preserve">7.5 Esquemas de tratamentos  </w:t>
      </w:r>
      <w:bookmarkEnd w:id="15"/>
    </w:p>
    <w:p w:rsidR="00E0069E" w:rsidRDefault="00C37FF7">
      <w:pPr>
        <w:spacing w:after="0"/>
        <w:ind w:left="10" w:right="0"/>
      </w:pPr>
      <w:r>
        <w:t>Os esquemas para tratamento de ILTB que foram comparados , são: (6H) = INH, diária por 6 meses; (9H) = INH, diária por 9 meses; (3HR) = INH/RFM, 1 vez por semana, durante 3 meses; (4HR) = INH/RFM, 1 vez por semana, d</w:t>
      </w:r>
      <w:r>
        <w:t xml:space="preserve">urante 4 meses;  (3HP) = </w:t>
      </w:r>
    </w:p>
    <w:p w:rsidR="00E0069E" w:rsidRDefault="00C37FF7">
      <w:pPr>
        <w:ind w:left="10" w:right="0"/>
      </w:pPr>
      <w:r>
        <w:t>INH/RPT, 1 vez por semana, durante 3 meses; (4R) = RFM, diária por 4 meses; (2H</w:t>
      </w:r>
      <w:r>
        <w:rPr>
          <w:vertAlign w:val="subscript"/>
        </w:rPr>
        <w:t>2</w:t>
      </w:r>
      <w:r>
        <w:t>P</w:t>
      </w:r>
      <w:r>
        <w:rPr>
          <w:vertAlign w:val="subscript"/>
        </w:rPr>
        <w:t>2</w:t>
      </w:r>
      <w:r>
        <w:t>) = RPT/INH, 2 vezes por semana, durante 3 meses.</w:t>
      </w:r>
      <w:r>
        <w:rPr>
          <w:rFonts w:ascii="Times New Roman" w:eastAsia="Times New Roman" w:hAnsi="Times New Roman" w:cs="Times New Roman"/>
        </w:rPr>
        <w:t xml:space="preserve"> </w:t>
      </w:r>
    </w:p>
    <w:p w:rsidR="00E0069E" w:rsidRDefault="00C37FF7">
      <w:pPr>
        <w:pStyle w:val="Ttulo2"/>
        <w:ind w:left="514" w:right="0"/>
      </w:pPr>
      <w:bookmarkStart w:id="16" w:name="_Toc54285"/>
      <w:r>
        <w:t xml:space="preserve">7.6 Considerações Éticas </w:t>
      </w:r>
      <w:bookmarkEnd w:id="16"/>
    </w:p>
    <w:p w:rsidR="00E0069E" w:rsidRDefault="00C37FF7">
      <w:pPr>
        <w:ind w:left="10" w:right="0"/>
      </w:pPr>
      <w:r>
        <w:t>A seguinte revisão sistemática foi submetida e registrada no PROSPERO e</w:t>
      </w:r>
      <w:r>
        <w:t xml:space="preserve">m 20 de novembro de 2022, com a seguinte identificação: </w:t>
      </w:r>
      <w:r>
        <w:rPr>
          <w:color w:val="333333"/>
        </w:rPr>
        <w:t>CRD42022372130.</w:t>
      </w:r>
    </w:p>
    <w:p w:rsidR="00E0069E" w:rsidRDefault="00C37FF7">
      <w:pPr>
        <w:spacing w:after="0" w:line="259" w:lineRule="auto"/>
        <w:ind w:left="0" w:right="0" w:firstLine="0"/>
        <w:jc w:val="left"/>
      </w:pPr>
      <w:r>
        <w:rPr>
          <w:rFonts w:ascii="Calibri" w:eastAsia="Calibri" w:hAnsi="Calibri" w:cs="Calibri"/>
          <w:sz w:val="22"/>
        </w:rPr>
        <w:t xml:space="preserve"> </w:t>
      </w:r>
    </w:p>
    <w:p w:rsidR="00E0069E" w:rsidRDefault="00C37FF7">
      <w:pPr>
        <w:pStyle w:val="Ttulo1"/>
        <w:ind w:left="-5" w:right="0"/>
      </w:pPr>
      <w:bookmarkStart w:id="17" w:name="_Toc54286"/>
      <w:r>
        <w:t xml:space="preserve">8 RESULTADOS </w:t>
      </w:r>
      <w:bookmarkEnd w:id="17"/>
    </w:p>
    <w:p w:rsidR="00E0069E" w:rsidRDefault="00C37FF7">
      <w:pPr>
        <w:pStyle w:val="Ttulo2"/>
        <w:ind w:left="875" w:right="0"/>
      </w:pPr>
      <w:bookmarkStart w:id="18" w:name="_Toc54287"/>
      <w:r>
        <w:t xml:space="preserve">8.1 Seleção de estudos </w:t>
      </w:r>
      <w:bookmarkEnd w:id="18"/>
    </w:p>
    <w:p w:rsidR="00E0069E" w:rsidRDefault="00C37FF7">
      <w:pPr>
        <w:ind w:left="10" w:right="0"/>
      </w:pPr>
      <w:r>
        <w:t xml:space="preserve">Ao realizar a pesquisa nas bases de dados </w:t>
      </w:r>
      <w:proofErr w:type="spellStart"/>
      <w:r>
        <w:t>SciELO</w:t>
      </w:r>
      <w:proofErr w:type="spellEnd"/>
      <w:r>
        <w:t xml:space="preserve">, </w:t>
      </w:r>
      <w:proofErr w:type="spellStart"/>
      <w:r>
        <w:t>PubMed</w:t>
      </w:r>
      <w:proofErr w:type="spellEnd"/>
      <w:r>
        <w:t>, Biblioteca Virtual de Saúde (BVS) e LILACS foram encontrados 341 artigos. Em seguida, constatou-se que 32 artigos estavam duplicados, portanto, foram excluídos. Após a exclusão das duplicações, rest</w:t>
      </w:r>
      <w:r>
        <w:t xml:space="preserve">aram 309 estudos, os quais tiveram seus títulos e resumos lidos e analisados conforme os critérios de inclusão e exclusão. Posteriormente, foram excluídos 261 artigos, por não se encaixarem nos critérios pré-estabelecidos e 41 </w:t>
      </w:r>
      <w:r>
        <w:lastRenderedPageBreak/>
        <w:t>estudos foram selecionados pa</w:t>
      </w:r>
      <w:r>
        <w:t xml:space="preserve">ra serem lidos na íntegra. Por fim, ao final do processo, 19 estudos foram descartados e restaram 22 artigos para serem incluídos na revisão sistemática (FIGURA 1). </w:t>
      </w:r>
      <w:r>
        <w:br w:type="page"/>
      </w:r>
    </w:p>
    <w:p w:rsidR="00E0069E" w:rsidRDefault="00C37FF7">
      <w:pPr>
        <w:spacing w:after="78" w:line="259" w:lineRule="auto"/>
        <w:ind w:left="10" w:right="0"/>
      </w:pPr>
      <w:r>
        <w:rPr>
          <w:b/>
        </w:rPr>
        <w:lastRenderedPageBreak/>
        <w:t xml:space="preserve">FIGURA 1 - </w:t>
      </w:r>
      <w:r>
        <w:t>Fluxograma da revisão sistemática</w:t>
      </w:r>
      <w:r>
        <w:rPr>
          <w:b/>
        </w:rPr>
        <w:t xml:space="preserve"> </w:t>
      </w:r>
    </w:p>
    <w:p w:rsidR="00E0069E" w:rsidRDefault="00C37FF7">
      <w:pPr>
        <w:spacing w:after="73" w:line="259" w:lineRule="auto"/>
        <w:ind w:left="0" w:right="0" w:firstLine="0"/>
        <w:jc w:val="left"/>
      </w:pPr>
      <w:r>
        <w:rPr>
          <w:b/>
          <w:sz w:val="20"/>
        </w:rPr>
        <w:t xml:space="preserve"> </w:t>
      </w:r>
    </w:p>
    <w:p w:rsidR="00E0069E" w:rsidRDefault="00C37FF7">
      <w:pPr>
        <w:spacing w:after="0" w:line="351" w:lineRule="auto"/>
        <w:ind w:left="0" w:right="305" w:firstLine="351"/>
        <w:jc w:val="left"/>
      </w:pPr>
      <w:r>
        <w:rPr>
          <w:noProof/>
        </w:rPr>
        <w:drawing>
          <wp:inline distT="0" distB="0" distL="0" distR="0">
            <wp:extent cx="5311140" cy="6004560"/>
            <wp:effectExtent l="0" t="0" r="0" b="0"/>
            <wp:docPr id="1671" name="Picture 1671"/>
            <wp:cNvGraphicFramePr/>
            <a:graphic xmlns:a="http://schemas.openxmlformats.org/drawingml/2006/main">
              <a:graphicData uri="http://schemas.openxmlformats.org/drawingml/2006/picture">
                <pic:pic xmlns:pic="http://schemas.openxmlformats.org/drawingml/2006/picture">
                  <pic:nvPicPr>
                    <pic:cNvPr id="1671" name="Picture 1671"/>
                    <pic:cNvPicPr/>
                  </pic:nvPicPr>
                  <pic:blipFill>
                    <a:blip r:embed="rId6"/>
                    <a:stretch>
                      <a:fillRect/>
                    </a:stretch>
                  </pic:blipFill>
                  <pic:spPr>
                    <a:xfrm>
                      <a:off x="0" y="0"/>
                      <a:ext cx="5311140" cy="6004560"/>
                    </a:xfrm>
                    <a:prstGeom prst="rect">
                      <a:avLst/>
                    </a:prstGeom>
                  </pic:spPr>
                </pic:pic>
              </a:graphicData>
            </a:graphic>
          </wp:inline>
        </w:drawing>
      </w:r>
      <w:r>
        <w:rPr>
          <w:rFonts w:ascii="Calibri" w:eastAsia="Calibri" w:hAnsi="Calibri" w:cs="Calibri"/>
          <w:sz w:val="22"/>
        </w:rPr>
        <w:t xml:space="preserve">  </w:t>
      </w:r>
    </w:p>
    <w:p w:rsidR="00E0069E" w:rsidRDefault="00C37FF7">
      <w:pPr>
        <w:pStyle w:val="Ttulo2"/>
        <w:ind w:left="875" w:right="0"/>
      </w:pPr>
      <w:bookmarkStart w:id="19" w:name="_Toc54288"/>
      <w:proofErr w:type="gramStart"/>
      <w:r>
        <w:t>8.2  Característica</w:t>
      </w:r>
      <w:proofErr w:type="gramEnd"/>
      <w:r>
        <w:t xml:space="preserve"> dos estudos </w:t>
      </w:r>
      <w:bookmarkEnd w:id="19"/>
    </w:p>
    <w:p w:rsidR="00E0069E" w:rsidRDefault="00C37FF7">
      <w:pPr>
        <w:ind w:left="10" w:right="0"/>
      </w:pPr>
      <w:r>
        <w:t>Fora</w:t>
      </w:r>
      <w:r>
        <w:t xml:space="preserve">m incluídos 22 estudos, com uma população total de 60.960 indivíduos. Os estudos incluídos variaram quanto à sua origem, sendo quatro multicêntricos, </w:t>
      </w:r>
      <w:proofErr w:type="gramStart"/>
      <w:r>
        <w:t>cinco  conduzidos</w:t>
      </w:r>
      <w:proofErr w:type="gramEnd"/>
      <w:r>
        <w:t xml:space="preserve"> nos Estados Unidos</w:t>
      </w:r>
      <w:r>
        <w:rPr>
          <w:vertAlign w:val="superscript"/>
        </w:rPr>
        <w:t>23–27</w:t>
      </w:r>
      <w:r>
        <w:t>, quatro em Taiwan</w:t>
      </w:r>
      <w:r>
        <w:rPr>
          <w:vertAlign w:val="superscript"/>
        </w:rPr>
        <w:t>28–31</w:t>
      </w:r>
      <w:r>
        <w:t>, dois na Coreia do Sul</w:t>
      </w:r>
      <w:r>
        <w:rPr>
          <w:vertAlign w:val="superscript"/>
        </w:rPr>
        <w:t>32,33</w:t>
      </w:r>
      <w:r>
        <w:t xml:space="preserve"> e os outros s</w:t>
      </w:r>
      <w:r>
        <w:t>ete em outros países, como Brasil</w:t>
      </w:r>
      <w:r>
        <w:rPr>
          <w:vertAlign w:val="superscript"/>
        </w:rPr>
        <w:t>10,34–36</w:t>
      </w:r>
      <w:r>
        <w:t>, Austrália</w:t>
      </w:r>
      <w:r>
        <w:rPr>
          <w:vertAlign w:val="superscript"/>
        </w:rPr>
        <w:t>35–37</w:t>
      </w:r>
      <w:r>
        <w:t>e Espanha</w:t>
      </w:r>
      <w:r>
        <w:rPr>
          <w:vertAlign w:val="superscript"/>
        </w:rPr>
        <w:t>34,38,39</w:t>
      </w:r>
      <w:r>
        <w:t>. Em relação aos tipos de desenhos de estudos, 16 (72,7%) eram observacionais, sendo destes seis (37,5%) coortes retrospectivas e quatro (25,0%) coortes prospectivas, cinco (22,7%) e</w:t>
      </w:r>
      <w:r>
        <w:t xml:space="preserve">ram estudos de intervenção, sendo destes três (60,0%) ensaios clínicos randomizados, e um (4,5%) descritivo. Os tamanhos das amostras </w:t>
      </w:r>
      <w:r>
        <w:lastRenderedPageBreak/>
        <w:t>foram variados, sendo que a menor população foi de 45</w:t>
      </w:r>
      <w:r>
        <w:rPr>
          <w:vertAlign w:val="superscript"/>
        </w:rPr>
        <w:t>10</w:t>
      </w:r>
      <w:r>
        <w:t xml:space="preserve"> participantes e a maior população foi de 28.931</w:t>
      </w:r>
      <w:r>
        <w:rPr>
          <w:vertAlign w:val="superscript"/>
        </w:rPr>
        <w:t>40</w:t>
      </w:r>
      <w:r>
        <w:t xml:space="preserve"> participantes.</w:t>
      </w:r>
      <w:r>
        <w:rPr>
          <w:rFonts w:ascii="Times New Roman" w:eastAsia="Times New Roman" w:hAnsi="Times New Roman" w:cs="Times New Roman"/>
        </w:rPr>
        <w:t xml:space="preserve"> </w:t>
      </w:r>
    </w:p>
    <w:p w:rsidR="00E0069E" w:rsidRDefault="00C37FF7">
      <w:pPr>
        <w:spacing w:after="193"/>
        <w:ind w:left="10" w:right="0"/>
      </w:pPr>
      <w:r>
        <w:t>Em relação às populações estudadas, 11 estudos incluíram adultos (com idade maior ou igual a 18 anos)</w:t>
      </w:r>
      <w:r>
        <w:rPr>
          <w:vertAlign w:val="superscript"/>
        </w:rPr>
        <w:t>10,29–35,38,39,41</w:t>
      </w:r>
      <w:r>
        <w:t>. Dois estudos não descreveram os critérios utilizados para seleção da amostra</w:t>
      </w:r>
      <w:r>
        <w:rPr>
          <w:vertAlign w:val="superscript"/>
        </w:rPr>
        <w:t>26,40</w:t>
      </w:r>
      <w:r>
        <w:t>. Os nove estudos restantes tiveram uma variação de ida</w:t>
      </w:r>
      <w:r>
        <w:t>de entre 2 e 80 anos</w:t>
      </w:r>
      <w:r>
        <w:rPr>
          <w:vertAlign w:val="superscript"/>
        </w:rPr>
        <w:t>23–25,27,28,36,37,42,43</w:t>
      </w:r>
      <w:r>
        <w:t>, sendo que, dois artigos utilizaram pessoas com idade superior a 12 anos</w:t>
      </w:r>
      <w:r>
        <w:rPr>
          <w:vertAlign w:val="superscript"/>
        </w:rPr>
        <w:t>24,28</w:t>
      </w:r>
      <w:r>
        <w:t xml:space="preserve"> e um selecionou pessoas com idade inferior a 18 anos</w:t>
      </w:r>
      <w:r>
        <w:rPr>
          <w:vertAlign w:val="superscript"/>
        </w:rPr>
        <w:t>36</w:t>
      </w:r>
      <w:r>
        <w:t>.</w:t>
      </w:r>
      <w:r>
        <w:rPr>
          <w:rFonts w:ascii="Times New Roman" w:eastAsia="Times New Roman" w:hAnsi="Times New Roman" w:cs="Times New Roman"/>
        </w:rPr>
        <w:t xml:space="preserve"> </w:t>
      </w:r>
    </w:p>
    <w:p w:rsidR="00E0069E" w:rsidRDefault="00C37FF7">
      <w:pPr>
        <w:ind w:left="10" w:right="0"/>
      </w:pPr>
      <w:r>
        <w:t>Alguns estudos avaliaram populações com características específicas, um estud</w:t>
      </w:r>
      <w:r>
        <w:t>o foi realizado em populações com doenças inflamatórias crônicas</w:t>
      </w:r>
      <w:r>
        <w:rPr>
          <w:vertAlign w:val="superscript"/>
        </w:rPr>
        <w:t>10</w:t>
      </w:r>
      <w:r>
        <w:t xml:space="preserve"> e um segundo estudo em pacientes com doença reumática, ambas as amostras utilizavam anti-TNF</w:t>
      </w:r>
      <w:r>
        <w:rPr>
          <w:vertAlign w:val="superscript"/>
        </w:rPr>
        <w:t>38</w:t>
      </w:r>
      <w:r>
        <w:t>. Dois estudos foram realizados com profissionais da área da saúde</w:t>
      </w:r>
      <w:r>
        <w:rPr>
          <w:vertAlign w:val="superscript"/>
        </w:rPr>
        <w:t>32,</w:t>
      </w:r>
      <w:proofErr w:type="gramStart"/>
      <w:r>
        <w:rPr>
          <w:vertAlign w:val="superscript"/>
        </w:rPr>
        <w:t>33</w:t>
      </w:r>
      <w:r>
        <w:t>,  dois</w:t>
      </w:r>
      <w:proofErr w:type="gramEnd"/>
      <w:r>
        <w:t xml:space="preserve"> estudos foram re</w:t>
      </w:r>
      <w:r>
        <w:t>alizados em pacientes com doença renal crônica e que realizaram diálise</w:t>
      </w:r>
      <w:r>
        <w:rPr>
          <w:vertAlign w:val="superscript"/>
        </w:rPr>
        <w:t>26,30</w:t>
      </w:r>
      <w:r>
        <w:t xml:space="preserve"> e um estudo foi realizado em população oncológica</w:t>
      </w:r>
      <w:r>
        <w:rPr>
          <w:vertAlign w:val="superscript"/>
        </w:rPr>
        <w:t>41</w:t>
      </w:r>
      <w:r>
        <w:t xml:space="preserve">. Os outros quinze </w:t>
      </w:r>
      <w:proofErr w:type="gramStart"/>
      <w:r>
        <w:t>estudos  foram</w:t>
      </w:r>
      <w:proofErr w:type="gramEnd"/>
      <w:r>
        <w:t xml:space="preserve"> realizados em populações com idades pré-estabelecidas e de regiões específicas, sem caracterís</w:t>
      </w:r>
      <w:r>
        <w:t>ticas específicas como critério de inclusão.</w:t>
      </w:r>
      <w:r>
        <w:rPr>
          <w:rFonts w:ascii="Times New Roman" w:eastAsia="Times New Roman" w:hAnsi="Times New Roman" w:cs="Times New Roman"/>
        </w:rPr>
        <w:t xml:space="preserve"> </w:t>
      </w:r>
    </w:p>
    <w:p w:rsidR="00E0069E" w:rsidRDefault="00C37FF7">
      <w:pPr>
        <w:spacing w:after="4"/>
        <w:ind w:left="10" w:right="0"/>
      </w:pPr>
      <w:r>
        <w:t>Em relação aos esquemas de tratamento, quatro estudos utilizaram Isoniazida em monoterapia por nove meses (9H)</w:t>
      </w:r>
      <w:r>
        <w:rPr>
          <w:vertAlign w:val="superscript"/>
        </w:rPr>
        <w:t>10,23,33,41</w:t>
      </w:r>
      <w:r>
        <w:t xml:space="preserve">, seis estudos utilizaram o esquema de associação da Isoniazida com </w:t>
      </w:r>
      <w:proofErr w:type="spellStart"/>
      <w:r>
        <w:t>Rifapentina</w:t>
      </w:r>
      <w:proofErr w:type="spellEnd"/>
      <w:r>
        <w:t xml:space="preserve"> semanais </w:t>
      </w:r>
      <w:r>
        <w:t xml:space="preserve">por três meses </w:t>
      </w:r>
    </w:p>
    <w:p w:rsidR="00E0069E" w:rsidRDefault="00C37FF7">
      <w:pPr>
        <w:spacing w:after="209"/>
        <w:ind w:left="10" w:right="0"/>
      </w:pPr>
      <w:r>
        <w:t>(3HP)</w:t>
      </w:r>
      <w:r>
        <w:rPr>
          <w:sz w:val="16"/>
        </w:rPr>
        <w:t>25,27,31,38,39,42</w:t>
      </w:r>
      <w:r>
        <w:t>, outros seis estudos utilizaram os esquemas 9H e 3HP</w:t>
      </w:r>
      <w:r>
        <w:rPr>
          <w:sz w:val="16"/>
        </w:rPr>
        <w:t>24,26,28,30,34</w:t>
      </w:r>
      <w:r>
        <w:t>, três estudos usaram os esquemas 9H e Rifampicina em monoterapia por quatro meses (4R)</w:t>
      </w:r>
      <w:r>
        <w:rPr>
          <w:vertAlign w:val="superscript"/>
        </w:rPr>
        <w:t>35,37</w:t>
      </w:r>
      <w:r>
        <w:t>, um estudo utilizou os esquemas 3HP e 2H</w:t>
      </w:r>
      <w:r>
        <w:rPr>
          <w:vertAlign w:val="subscript"/>
        </w:rPr>
        <w:t>2</w:t>
      </w:r>
      <w:r>
        <w:t>P</w:t>
      </w:r>
      <w:r>
        <w:rPr>
          <w:vertAlign w:val="subscript"/>
        </w:rPr>
        <w:t>2</w:t>
      </w:r>
      <w:r>
        <w:rPr>
          <w:vertAlign w:val="superscript"/>
        </w:rPr>
        <w:t>43</w:t>
      </w:r>
      <w:r>
        <w:t xml:space="preserve"> </w:t>
      </w:r>
      <w:r>
        <w:t>e um estudo utilizou 9H, 3HR e 4R</w:t>
      </w:r>
      <w:r>
        <w:rPr>
          <w:vertAlign w:val="superscript"/>
        </w:rPr>
        <w:t>32</w:t>
      </w:r>
      <w:r>
        <w:t>. Apenas um estudo utilizou, inicialmente, os esquemas 9H, 4R e 4HR</w:t>
      </w:r>
      <w:r>
        <w:rPr>
          <w:vertAlign w:val="superscript"/>
        </w:rPr>
        <w:t>29</w:t>
      </w:r>
      <w:r>
        <w:t xml:space="preserve">. </w:t>
      </w:r>
      <w:r>
        <w:rPr>
          <w:rFonts w:ascii="Times New Roman" w:eastAsia="Times New Roman" w:hAnsi="Times New Roman" w:cs="Times New Roman"/>
        </w:rPr>
        <w:t xml:space="preserve"> </w:t>
      </w:r>
    </w:p>
    <w:p w:rsidR="00E0069E" w:rsidRDefault="00C37FF7">
      <w:pPr>
        <w:ind w:left="10" w:right="0"/>
      </w:pPr>
      <w:r>
        <w:t>Por fim, alguns estudos descreveram em suas metodologias as doses de medicamentos que foram utilizadas em suas amostras.</w:t>
      </w:r>
      <w:r>
        <w:rPr>
          <w:b/>
        </w:rPr>
        <w:t xml:space="preserve"> </w:t>
      </w:r>
      <w:r>
        <w:t>Quatro artigos utilizaram u</w:t>
      </w:r>
      <w:r>
        <w:t xml:space="preserve">ma dosagem de 900 mg </w:t>
      </w:r>
      <w:proofErr w:type="gramStart"/>
      <w:r>
        <w:t>de  RTP</w:t>
      </w:r>
      <w:proofErr w:type="gramEnd"/>
      <w:r>
        <w:t xml:space="preserve"> com INH, em dosagem de 15 a 25 mg/kg, com dose máxima de 900 mg, uma vez por semana, por 3 meses </w:t>
      </w:r>
      <w:r>
        <w:rPr>
          <w:vertAlign w:val="superscript"/>
        </w:rPr>
        <w:t>24,34,38,39</w:t>
      </w:r>
      <w:r>
        <w:t>. Três estudos combinaram vitamina B6 mais 900 mg de RPT semanalmente mais, 15 mg/kg de INH, com dose máxima de 900 mg,</w:t>
      </w:r>
      <w:r>
        <w:t xml:space="preserve"> porém, dois estudos utilizaram por 3 meses</w:t>
      </w:r>
      <w:r>
        <w:rPr>
          <w:vertAlign w:val="superscript"/>
        </w:rPr>
        <w:t>25,26</w:t>
      </w:r>
      <w:r>
        <w:t>e outro estudo por 9 meses</w:t>
      </w:r>
      <w:r>
        <w:rPr>
          <w:vertAlign w:val="superscript"/>
        </w:rPr>
        <w:t>27</w:t>
      </w:r>
      <w:r>
        <w:t>. Um estudo utilizou 600 mg de RPT com 15 mg/kg de INH, dose máxima de 600 mg, duas vezes por semana, por dois meses</w:t>
      </w:r>
      <w:r>
        <w:rPr>
          <w:vertAlign w:val="superscript"/>
        </w:rPr>
        <w:t>23</w:t>
      </w:r>
      <w:r>
        <w:t xml:space="preserve">. Outro estudo utilizou </w:t>
      </w:r>
      <w:r>
        <w:lastRenderedPageBreak/>
        <w:t xml:space="preserve">5 mg/kg de INH, em dose máxima de 300 </w:t>
      </w:r>
      <w:r>
        <w:t>mg mais RFM, 10 mg/kg, diariamente, por 4 meses, juntamente com vitamina B</w:t>
      </w:r>
      <w:r>
        <w:rPr>
          <w:vertAlign w:val="superscript"/>
        </w:rPr>
        <w:t>36</w:t>
      </w:r>
      <w:r>
        <w:t>. Dois estudos utilizaram 300 mg de INH, diariamente, só que um por 6 meses</w:t>
      </w:r>
      <w:r>
        <w:rPr>
          <w:vertAlign w:val="superscript"/>
        </w:rPr>
        <w:t>40</w:t>
      </w:r>
      <w:r>
        <w:t xml:space="preserve"> e outro por 9 meses</w:t>
      </w:r>
      <w:r>
        <w:rPr>
          <w:vertAlign w:val="superscript"/>
        </w:rPr>
        <w:t>33</w:t>
      </w:r>
      <w:r>
        <w:t>. Os 11 estudos restantes não detalharam quais dosagens utilizaram em suas amostr</w:t>
      </w:r>
      <w:r>
        <w:t>as. (QUADRO 1)</w:t>
      </w:r>
    </w:p>
    <w:p w:rsidR="00E0069E" w:rsidRDefault="00E0069E">
      <w:pPr>
        <w:sectPr w:rsidR="00E0069E">
          <w:pgSz w:w="11908" w:h="16836"/>
          <w:pgMar w:top="1556" w:right="1130" w:bottom="1134" w:left="1701" w:header="720" w:footer="720" w:gutter="0"/>
          <w:cols w:space="720"/>
        </w:sectPr>
      </w:pPr>
    </w:p>
    <w:p w:rsidR="00E0069E" w:rsidRDefault="00C37FF7">
      <w:pPr>
        <w:spacing w:after="115" w:line="259" w:lineRule="auto"/>
        <w:ind w:left="4475" w:right="0"/>
        <w:jc w:val="left"/>
      </w:pPr>
      <w:r>
        <w:rPr>
          <w:rFonts w:ascii="Calibri" w:eastAsia="Calibri" w:hAnsi="Calibri" w:cs="Calibri"/>
          <w:sz w:val="22"/>
        </w:rPr>
        <w:lastRenderedPageBreak/>
        <w:t xml:space="preserve">     </w:t>
      </w:r>
      <w:r>
        <w:rPr>
          <w:b/>
          <w:sz w:val="20"/>
        </w:rPr>
        <w:t>QUADRO 1 –</w:t>
      </w:r>
      <w:r>
        <w:rPr>
          <w:sz w:val="20"/>
        </w:rPr>
        <w:t xml:space="preserve">Descrição das características do estudo. </w:t>
      </w:r>
    </w:p>
    <w:p w:rsidR="00E0069E" w:rsidRDefault="00C37FF7">
      <w:pPr>
        <w:spacing w:after="0" w:line="259" w:lineRule="auto"/>
        <w:ind w:left="10" w:right="-15"/>
        <w:jc w:val="right"/>
      </w:pPr>
      <w:r>
        <w:rPr>
          <w:sz w:val="20"/>
        </w:rPr>
        <w:t xml:space="preserve">(Continua) </w:t>
      </w:r>
    </w:p>
    <w:tbl>
      <w:tblPr>
        <w:tblStyle w:val="TableGrid"/>
        <w:tblW w:w="14203" w:type="dxa"/>
        <w:tblInd w:w="4" w:type="dxa"/>
        <w:tblCellMar>
          <w:top w:w="31" w:type="dxa"/>
          <w:left w:w="112" w:type="dxa"/>
          <w:bottom w:w="0" w:type="dxa"/>
          <w:right w:w="60" w:type="dxa"/>
        </w:tblCellMar>
        <w:tblLook w:val="04A0" w:firstRow="1" w:lastRow="0" w:firstColumn="1" w:lastColumn="0" w:noHBand="0" w:noVBand="1"/>
      </w:tblPr>
      <w:tblGrid>
        <w:gridCol w:w="672"/>
        <w:gridCol w:w="1625"/>
        <w:gridCol w:w="2821"/>
        <w:gridCol w:w="1288"/>
        <w:gridCol w:w="1500"/>
        <w:gridCol w:w="2192"/>
        <w:gridCol w:w="1377"/>
        <w:gridCol w:w="2728"/>
      </w:tblGrid>
      <w:tr w:rsidR="00E0069E">
        <w:trPr>
          <w:trHeight w:val="504"/>
        </w:trPr>
        <w:tc>
          <w:tcPr>
            <w:tcW w:w="672"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28" w:right="0" w:firstLine="0"/>
              <w:jc w:val="left"/>
            </w:pPr>
            <w:r>
              <w:rPr>
                <w:b/>
                <w:sz w:val="20"/>
              </w:rPr>
              <w:t xml:space="preserve">Ano </w:t>
            </w:r>
          </w:p>
        </w:tc>
        <w:tc>
          <w:tcPr>
            <w:tcW w:w="1625"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17" w:right="13" w:firstLine="0"/>
              <w:jc w:val="center"/>
            </w:pPr>
            <w:r>
              <w:rPr>
                <w:b/>
                <w:sz w:val="20"/>
              </w:rPr>
              <w:t xml:space="preserve">Primeiro autor, ano. </w:t>
            </w:r>
          </w:p>
        </w:tc>
        <w:tc>
          <w:tcPr>
            <w:tcW w:w="282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4" w:firstLine="0"/>
              <w:jc w:val="center"/>
            </w:pPr>
            <w:r>
              <w:rPr>
                <w:b/>
                <w:sz w:val="20"/>
              </w:rPr>
              <w:t xml:space="preserve">País </w:t>
            </w:r>
          </w:p>
        </w:tc>
        <w:tc>
          <w:tcPr>
            <w:tcW w:w="1288"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7" w:firstLine="0"/>
              <w:jc w:val="center"/>
            </w:pPr>
            <w:r>
              <w:rPr>
                <w:b/>
                <w:sz w:val="20"/>
              </w:rPr>
              <w:t xml:space="preserve">Amostra </w:t>
            </w:r>
          </w:p>
          <w:p w:rsidR="00E0069E" w:rsidRDefault="00C37FF7">
            <w:pPr>
              <w:spacing w:after="0" w:line="259" w:lineRule="auto"/>
              <w:ind w:left="0" w:right="50" w:firstLine="0"/>
              <w:jc w:val="center"/>
            </w:pPr>
            <w:r>
              <w:rPr>
                <w:b/>
                <w:sz w:val="20"/>
              </w:rPr>
              <w:t xml:space="preserve">(n) </w:t>
            </w:r>
          </w:p>
        </w:tc>
        <w:tc>
          <w:tcPr>
            <w:tcW w:w="1500"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48" w:right="0" w:firstLine="0"/>
              <w:jc w:val="left"/>
            </w:pPr>
            <w:r>
              <w:rPr>
                <w:b/>
                <w:sz w:val="20"/>
              </w:rPr>
              <w:t xml:space="preserve">Idade (anos) </w:t>
            </w:r>
          </w:p>
        </w:tc>
        <w:tc>
          <w:tcPr>
            <w:tcW w:w="2192"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1" w:firstLine="0"/>
              <w:jc w:val="center"/>
            </w:pPr>
            <w:r>
              <w:rPr>
                <w:b/>
                <w:sz w:val="20"/>
              </w:rPr>
              <w:t xml:space="preserve">Tipo do estudo </w:t>
            </w:r>
          </w:p>
        </w:tc>
        <w:tc>
          <w:tcPr>
            <w:tcW w:w="137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32" w:right="0" w:firstLine="0"/>
              <w:jc w:val="left"/>
            </w:pPr>
            <w:r>
              <w:rPr>
                <w:b/>
                <w:sz w:val="20"/>
              </w:rPr>
              <w:t xml:space="preserve">Tratamento </w:t>
            </w:r>
          </w:p>
        </w:tc>
        <w:tc>
          <w:tcPr>
            <w:tcW w:w="2728"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b/>
                <w:sz w:val="20"/>
              </w:rPr>
              <w:t xml:space="preserve">População </w:t>
            </w:r>
          </w:p>
        </w:tc>
      </w:tr>
      <w:tr w:rsidR="00E0069E">
        <w:trPr>
          <w:trHeight w:val="1264"/>
        </w:trPr>
        <w:tc>
          <w:tcPr>
            <w:tcW w:w="672"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2011 </w:t>
            </w:r>
          </w:p>
        </w:tc>
        <w:tc>
          <w:tcPr>
            <w:tcW w:w="1625"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0" w:firstLine="0"/>
              <w:jc w:val="center"/>
            </w:pPr>
            <w:r>
              <w:rPr>
                <w:sz w:val="20"/>
              </w:rPr>
              <w:t xml:space="preserve">Lopes </w:t>
            </w:r>
            <w:r>
              <w:rPr>
                <w:i/>
                <w:sz w:val="20"/>
              </w:rPr>
              <w:t>et al.</w:t>
            </w:r>
            <w:r>
              <w:rPr>
                <w:sz w:val="20"/>
                <w:vertAlign w:val="superscript"/>
              </w:rPr>
              <w:t>10</w:t>
            </w:r>
            <w:r>
              <w:rPr>
                <w:sz w:val="20"/>
              </w:rPr>
              <w:t xml:space="preserve"> </w:t>
            </w:r>
          </w:p>
        </w:tc>
        <w:tc>
          <w:tcPr>
            <w:tcW w:w="282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2" w:firstLine="0"/>
              <w:jc w:val="center"/>
            </w:pPr>
            <w:r>
              <w:rPr>
                <w:sz w:val="20"/>
              </w:rPr>
              <w:t xml:space="preserve">Brasil </w:t>
            </w:r>
          </w:p>
        </w:tc>
        <w:tc>
          <w:tcPr>
            <w:tcW w:w="1288"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3" w:firstLine="0"/>
              <w:jc w:val="center"/>
            </w:pPr>
            <w:r>
              <w:rPr>
                <w:sz w:val="20"/>
              </w:rPr>
              <w:t xml:space="preserve">45 </w:t>
            </w:r>
          </w:p>
        </w:tc>
        <w:tc>
          <w:tcPr>
            <w:tcW w:w="1500"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3" w:firstLine="0"/>
              <w:jc w:val="center"/>
            </w:pPr>
            <w:r>
              <w:rPr>
                <w:color w:val="202124"/>
                <w:sz w:val="20"/>
              </w:rPr>
              <w:t>≥ 18</w:t>
            </w:r>
            <w:r>
              <w:rPr>
                <w:sz w:val="20"/>
              </w:rPr>
              <w:t xml:space="preserve"> </w:t>
            </w:r>
          </w:p>
        </w:tc>
        <w:tc>
          <w:tcPr>
            <w:tcW w:w="2192"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center"/>
            </w:pPr>
            <w:r>
              <w:rPr>
                <w:sz w:val="20"/>
              </w:rPr>
              <w:t xml:space="preserve">Estudo analítico observacional transversal </w:t>
            </w:r>
          </w:p>
        </w:tc>
        <w:tc>
          <w:tcPr>
            <w:tcW w:w="137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1" w:firstLine="0"/>
              <w:jc w:val="center"/>
            </w:pPr>
            <w:r>
              <w:rPr>
                <w:sz w:val="20"/>
              </w:rPr>
              <w:t xml:space="preserve">9H </w:t>
            </w:r>
          </w:p>
        </w:tc>
        <w:tc>
          <w:tcPr>
            <w:tcW w:w="2728"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40" w:lineRule="auto"/>
              <w:ind w:left="218" w:right="212" w:hanging="14"/>
              <w:jc w:val="center"/>
            </w:pPr>
            <w:r>
              <w:rPr>
                <w:sz w:val="20"/>
              </w:rPr>
              <w:t xml:space="preserve">População com doença inflamatória crônica que fazem uso de </w:t>
            </w:r>
          </w:p>
          <w:p w:rsidR="00E0069E" w:rsidRDefault="00C37FF7">
            <w:pPr>
              <w:spacing w:after="0" w:line="259" w:lineRule="auto"/>
              <w:ind w:left="102" w:right="102" w:firstLine="0"/>
              <w:jc w:val="center"/>
            </w:pPr>
            <w:r>
              <w:rPr>
                <w:sz w:val="20"/>
              </w:rPr>
              <w:t xml:space="preserve">imunobiológicos inibidores do </w:t>
            </w:r>
            <w:proofErr w:type="spellStart"/>
            <w:r>
              <w:rPr>
                <w:sz w:val="20"/>
              </w:rPr>
              <w:t>anti-TNF</w:t>
            </w:r>
            <w:proofErr w:type="spellEnd"/>
            <w:r>
              <w:rPr>
                <w:sz w:val="20"/>
              </w:rPr>
              <w:t xml:space="preserve"> </w:t>
            </w:r>
          </w:p>
        </w:tc>
      </w:tr>
      <w:tr w:rsidR="00E0069E">
        <w:trPr>
          <w:trHeight w:val="768"/>
        </w:trPr>
        <w:tc>
          <w:tcPr>
            <w:tcW w:w="672"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2014 </w:t>
            </w:r>
          </w:p>
        </w:tc>
        <w:tc>
          <w:tcPr>
            <w:tcW w:w="1625"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4" w:firstLine="0"/>
              <w:jc w:val="center"/>
            </w:pPr>
            <w:proofErr w:type="spellStart"/>
            <w:r>
              <w:rPr>
                <w:sz w:val="20"/>
              </w:rPr>
              <w:t>Valls</w:t>
            </w:r>
            <w:proofErr w:type="spellEnd"/>
            <w:r>
              <w:rPr>
                <w:sz w:val="20"/>
              </w:rPr>
              <w:t xml:space="preserve"> </w:t>
            </w:r>
            <w:r>
              <w:rPr>
                <w:i/>
                <w:sz w:val="20"/>
              </w:rPr>
              <w:t>et al</w:t>
            </w:r>
            <w:r>
              <w:rPr>
                <w:sz w:val="20"/>
              </w:rPr>
              <w:t>.</w:t>
            </w:r>
            <w:r>
              <w:rPr>
                <w:sz w:val="20"/>
                <w:vertAlign w:val="superscript"/>
              </w:rPr>
              <w:t>38</w:t>
            </w:r>
            <w:r>
              <w:rPr>
                <w:sz w:val="20"/>
              </w:rPr>
              <w:t xml:space="preserve"> </w:t>
            </w:r>
          </w:p>
        </w:tc>
        <w:tc>
          <w:tcPr>
            <w:tcW w:w="282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0" w:firstLine="0"/>
              <w:jc w:val="center"/>
            </w:pPr>
            <w:r>
              <w:rPr>
                <w:sz w:val="20"/>
              </w:rPr>
              <w:t xml:space="preserve">Espanha </w:t>
            </w:r>
          </w:p>
        </w:tc>
        <w:tc>
          <w:tcPr>
            <w:tcW w:w="1288"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3" w:firstLine="0"/>
              <w:jc w:val="center"/>
            </w:pPr>
            <w:r>
              <w:rPr>
                <w:sz w:val="20"/>
              </w:rPr>
              <w:t xml:space="preserve">69 </w:t>
            </w:r>
          </w:p>
        </w:tc>
        <w:tc>
          <w:tcPr>
            <w:tcW w:w="1500"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3" w:firstLine="0"/>
              <w:jc w:val="center"/>
            </w:pPr>
            <w:r>
              <w:rPr>
                <w:color w:val="202124"/>
                <w:sz w:val="20"/>
              </w:rPr>
              <w:t>≥ 18</w:t>
            </w:r>
            <w:r>
              <w:rPr>
                <w:sz w:val="20"/>
              </w:rPr>
              <w:t xml:space="preserve"> </w:t>
            </w:r>
          </w:p>
        </w:tc>
        <w:tc>
          <w:tcPr>
            <w:tcW w:w="2192"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Estudo de intervenção, open-</w:t>
            </w:r>
            <w:proofErr w:type="spellStart"/>
            <w:r>
              <w:rPr>
                <w:sz w:val="20"/>
              </w:rPr>
              <w:t>label</w:t>
            </w:r>
            <w:proofErr w:type="spellEnd"/>
            <w:r>
              <w:rPr>
                <w:sz w:val="20"/>
              </w:rPr>
              <w:t xml:space="preserve"> </w:t>
            </w:r>
          </w:p>
        </w:tc>
        <w:tc>
          <w:tcPr>
            <w:tcW w:w="137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7" w:firstLine="0"/>
              <w:jc w:val="center"/>
            </w:pPr>
            <w:r>
              <w:rPr>
                <w:sz w:val="20"/>
              </w:rPr>
              <w:t xml:space="preserve">3HP </w:t>
            </w:r>
          </w:p>
        </w:tc>
        <w:tc>
          <w:tcPr>
            <w:tcW w:w="2728"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42" w:lineRule="auto"/>
              <w:ind w:left="0" w:right="0" w:firstLine="0"/>
              <w:jc w:val="center"/>
            </w:pPr>
            <w:r>
              <w:rPr>
                <w:sz w:val="20"/>
              </w:rPr>
              <w:t xml:space="preserve">Pacientes com doença reumática e que fazem uso </w:t>
            </w:r>
          </w:p>
          <w:p w:rsidR="00E0069E" w:rsidRDefault="00C37FF7">
            <w:pPr>
              <w:spacing w:after="0" w:line="259" w:lineRule="auto"/>
              <w:ind w:left="0" w:right="49" w:firstLine="0"/>
              <w:jc w:val="center"/>
            </w:pPr>
            <w:r>
              <w:rPr>
                <w:sz w:val="20"/>
              </w:rPr>
              <w:t xml:space="preserve">de </w:t>
            </w:r>
            <w:proofErr w:type="spellStart"/>
            <w:r>
              <w:rPr>
                <w:sz w:val="20"/>
              </w:rPr>
              <w:t>anti-TNF</w:t>
            </w:r>
            <w:proofErr w:type="spellEnd"/>
            <w:r>
              <w:rPr>
                <w:sz w:val="20"/>
              </w:rPr>
              <w:t xml:space="preserve"> </w:t>
            </w:r>
          </w:p>
        </w:tc>
      </w:tr>
      <w:tr w:rsidR="00E0069E">
        <w:trPr>
          <w:trHeight w:val="508"/>
        </w:trPr>
        <w:tc>
          <w:tcPr>
            <w:tcW w:w="672"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2014 </w:t>
            </w:r>
          </w:p>
        </w:tc>
        <w:tc>
          <w:tcPr>
            <w:tcW w:w="1625"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6" w:firstLine="0"/>
              <w:jc w:val="center"/>
            </w:pPr>
            <w:r>
              <w:rPr>
                <w:sz w:val="20"/>
              </w:rPr>
              <w:t xml:space="preserve">Chang </w:t>
            </w:r>
            <w:r>
              <w:rPr>
                <w:i/>
                <w:sz w:val="20"/>
              </w:rPr>
              <w:t>et al</w:t>
            </w:r>
            <w:r>
              <w:rPr>
                <w:sz w:val="20"/>
              </w:rPr>
              <w:t>.</w:t>
            </w:r>
            <w:r>
              <w:rPr>
                <w:sz w:val="20"/>
                <w:vertAlign w:val="superscript"/>
              </w:rPr>
              <w:t>23</w:t>
            </w:r>
            <w:r>
              <w:rPr>
                <w:sz w:val="20"/>
              </w:rPr>
              <w:t xml:space="preserve"> </w:t>
            </w:r>
          </w:p>
        </w:tc>
        <w:tc>
          <w:tcPr>
            <w:tcW w:w="282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4" w:firstLine="0"/>
              <w:jc w:val="center"/>
            </w:pPr>
            <w:r>
              <w:rPr>
                <w:sz w:val="20"/>
              </w:rPr>
              <w:t xml:space="preserve">EUA </w:t>
            </w:r>
          </w:p>
        </w:tc>
        <w:tc>
          <w:tcPr>
            <w:tcW w:w="1288"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3" w:firstLine="0"/>
              <w:jc w:val="center"/>
            </w:pPr>
            <w:r>
              <w:rPr>
                <w:sz w:val="20"/>
              </w:rPr>
              <w:t xml:space="preserve">1.673 </w:t>
            </w:r>
          </w:p>
        </w:tc>
        <w:tc>
          <w:tcPr>
            <w:tcW w:w="1500"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8" w:firstLine="0"/>
              <w:jc w:val="center"/>
            </w:pPr>
            <w:r>
              <w:rPr>
                <w:color w:val="202124"/>
                <w:sz w:val="20"/>
              </w:rPr>
              <w:t>0 – 18</w:t>
            </w:r>
            <w:r>
              <w:rPr>
                <w:sz w:val="20"/>
              </w:rPr>
              <w:t xml:space="preserve"> </w:t>
            </w:r>
          </w:p>
        </w:tc>
        <w:tc>
          <w:tcPr>
            <w:tcW w:w="2192"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Estudo coorte retrospectivo </w:t>
            </w:r>
          </w:p>
        </w:tc>
        <w:tc>
          <w:tcPr>
            <w:tcW w:w="137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1" w:firstLine="0"/>
              <w:jc w:val="center"/>
            </w:pPr>
            <w:r>
              <w:rPr>
                <w:sz w:val="20"/>
              </w:rPr>
              <w:t xml:space="preserve">9H </w:t>
            </w:r>
          </w:p>
        </w:tc>
        <w:tc>
          <w:tcPr>
            <w:tcW w:w="2728"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Crianças e adolescentes, sem outras especificações </w:t>
            </w:r>
          </w:p>
        </w:tc>
      </w:tr>
      <w:tr w:rsidR="00E0069E">
        <w:trPr>
          <w:trHeight w:val="752"/>
        </w:trPr>
        <w:tc>
          <w:tcPr>
            <w:tcW w:w="672"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2015 </w:t>
            </w:r>
          </w:p>
        </w:tc>
        <w:tc>
          <w:tcPr>
            <w:tcW w:w="1625"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7" w:firstLine="0"/>
              <w:jc w:val="center"/>
            </w:pPr>
            <w:proofErr w:type="spellStart"/>
            <w:r>
              <w:rPr>
                <w:sz w:val="20"/>
              </w:rPr>
              <w:t>Bliven</w:t>
            </w:r>
            <w:proofErr w:type="spellEnd"/>
            <w:r>
              <w:rPr>
                <w:sz w:val="20"/>
              </w:rPr>
              <w:t>-</w:t>
            </w:r>
          </w:p>
          <w:p w:rsidR="00E0069E" w:rsidRDefault="00C37FF7">
            <w:pPr>
              <w:spacing w:after="0" w:line="259" w:lineRule="auto"/>
              <w:ind w:left="193" w:right="136" w:firstLine="0"/>
              <w:jc w:val="center"/>
            </w:pPr>
            <w:proofErr w:type="spellStart"/>
            <w:proofErr w:type="gramStart"/>
            <w:r>
              <w:rPr>
                <w:sz w:val="20"/>
              </w:rPr>
              <w:t>Sizemore</w:t>
            </w:r>
            <w:proofErr w:type="spellEnd"/>
            <w:r>
              <w:rPr>
                <w:sz w:val="20"/>
              </w:rPr>
              <w:t xml:space="preserve">  </w:t>
            </w:r>
            <w:r>
              <w:rPr>
                <w:i/>
                <w:sz w:val="20"/>
              </w:rPr>
              <w:t>et</w:t>
            </w:r>
            <w:proofErr w:type="gramEnd"/>
            <w:r>
              <w:rPr>
                <w:i/>
                <w:sz w:val="20"/>
              </w:rPr>
              <w:t xml:space="preserve"> al</w:t>
            </w:r>
            <w:r>
              <w:rPr>
                <w:sz w:val="20"/>
              </w:rPr>
              <w:t>.</w:t>
            </w:r>
            <w:r>
              <w:rPr>
                <w:sz w:val="20"/>
                <w:vertAlign w:val="superscript"/>
              </w:rPr>
              <w:t>34</w:t>
            </w:r>
            <w:r>
              <w:rPr>
                <w:sz w:val="20"/>
              </w:rPr>
              <w:t xml:space="preserve"> </w:t>
            </w:r>
          </w:p>
        </w:tc>
        <w:tc>
          <w:tcPr>
            <w:tcW w:w="282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12" w:right="0" w:firstLine="0"/>
              <w:jc w:val="left"/>
            </w:pPr>
            <w:r>
              <w:rPr>
                <w:sz w:val="20"/>
              </w:rPr>
              <w:t xml:space="preserve">Brasil/Canadá/Espanha/EUA </w:t>
            </w:r>
          </w:p>
        </w:tc>
        <w:tc>
          <w:tcPr>
            <w:tcW w:w="1288"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3" w:firstLine="0"/>
              <w:jc w:val="center"/>
            </w:pPr>
            <w:r>
              <w:rPr>
                <w:sz w:val="20"/>
              </w:rPr>
              <w:t>6.862</w:t>
            </w:r>
            <w:r>
              <w:rPr>
                <w:sz w:val="20"/>
              </w:rPr>
              <w:t xml:space="preserve"> </w:t>
            </w:r>
          </w:p>
        </w:tc>
        <w:tc>
          <w:tcPr>
            <w:tcW w:w="1500"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3" w:firstLine="0"/>
              <w:jc w:val="center"/>
            </w:pPr>
            <w:r>
              <w:rPr>
                <w:color w:val="202124"/>
                <w:sz w:val="20"/>
              </w:rPr>
              <w:t xml:space="preserve">≥ 18 </w:t>
            </w:r>
          </w:p>
        </w:tc>
        <w:tc>
          <w:tcPr>
            <w:tcW w:w="2192"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48" w:right="0" w:firstLine="0"/>
              <w:jc w:val="left"/>
            </w:pPr>
            <w:r>
              <w:rPr>
                <w:sz w:val="20"/>
              </w:rPr>
              <w:t xml:space="preserve">Estudo caso controle </w:t>
            </w:r>
          </w:p>
        </w:tc>
        <w:tc>
          <w:tcPr>
            <w:tcW w:w="137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6" w:firstLine="0"/>
              <w:jc w:val="center"/>
            </w:pPr>
            <w:r>
              <w:rPr>
                <w:sz w:val="20"/>
              </w:rPr>
              <w:t xml:space="preserve">9H, 3HP </w:t>
            </w:r>
          </w:p>
        </w:tc>
        <w:tc>
          <w:tcPr>
            <w:tcW w:w="2728"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23" w:right="0" w:hanging="23"/>
              <w:jc w:val="center"/>
            </w:pPr>
            <w:r>
              <w:rPr>
                <w:sz w:val="20"/>
              </w:rPr>
              <w:t xml:space="preserve">Pacientes que tomaram, ao menos, uma dose do esquema proposto </w:t>
            </w:r>
          </w:p>
        </w:tc>
      </w:tr>
      <w:tr w:rsidR="00E0069E">
        <w:trPr>
          <w:trHeight w:val="768"/>
        </w:trPr>
        <w:tc>
          <w:tcPr>
            <w:tcW w:w="672"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left"/>
            </w:pPr>
            <w:r>
              <w:rPr>
                <w:sz w:val="20"/>
              </w:rPr>
              <w:t xml:space="preserve">2015 </w:t>
            </w:r>
          </w:p>
        </w:tc>
        <w:tc>
          <w:tcPr>
            <w:tcW w:w="1625"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6" w:firstLine="0"/>
              <w:jc w:val="center"/>
            </w:pPr>
            <w:r>
              <w:rPr>
                <w:sz w:val="20"/>
              </w:rPr>
              <w:t xml:space="preserve">Sterling </w:t>
            </w:r>
            <w:r>
              <w:rPr>
                <w:i/>
                <w:sz w:val="20"/>
              </w:rPr>
              <w:t>et al</w:t>
            </w:r>
            <w:r>
              <w:rPr>
                <w:sz w:val="20"/>
              </w:rPr>
              <w:t>.</w:t>
            </w:r>
            <w:r>
              <w:rPr>
                <w:sz w:val="20"/>
                <w:vertAlign w:val="superscript"/>
              </w:rPr>
              <w:t>24</w:t>
            </w:r>
            <w:r>
              <w:rPr>
                <w:sz w:val="20"/>
              </w:rPr>
              <w:t xml:space="preserve"> </w:t>
            </w:r>
          </w:p>
        </w:tc>
        <w:tc>
          <w:tcPr>
            <w:tcW w:w="282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4" w:firstLine="0"/>
              <w:jc w:val="center"/>
            </w:pPr>
            <w:r>
              <w:rPr>
                <w:sz w:val="20"/>
              </w:rPr>
              <w:t xml:space="preserve">EUA </w:t>
            </w:r>
          </w:p>
        </w:tc>
        <w:tc>
          <w:tcPr>
            <w:tcW w:w="1288"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3" w:firstLine="0"/>
              <w:jc w:val="center"/>
            </w:pPr>
            <w:r>
              <w:rPr>
                <w:sz w:val="20"/>
              </w:rPr>
              <w:t xml:space="preserve">7.552 </w:t>
            </w:r>
          </w:p>
        </w:tc>
        <w:tc>
          <w:tcPr>
            <w:tcW w:w="1500"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2" w:firstLine="0"/>
              <w:jc w:val="center"/>
            </w:pPr>
            <w:r>
              <w:rPr>
                <w:color w:val="202124"/>
                <w:sz w:val="20"/>
              </w:rPr>
              <w:t xml:space="preserve">≥ </w:t>
            </w:r>
            <w:r>
              <w:rPr>
                <w:sz w:val="20"/>
              </w:rPr>
              <w:t>12</w:t>
            </w:r>
            <w:r>
              <w:rPr>
                <w:color w:val="202124"/>
                <w:sz w:val="20"/>
              </w:rPr>
              <w:t xml:space="preserve"> </w:t>
            </w:r>
          </w:p>
        </w:tc>
        <w:tc>
          <w:tcPr>
            <w:tcW w:w="2192"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19" w:right="0" w:hanging="19"/>
              <w:jc w:val="center"/>
            </w:pPr>
            <w:r>
              <w:rPr>
                <w:sz w:val="20"/>
              </w:rPr>
              <w:t>Estudo prospectivo, randomizado, open-</w:t>
            </w:r>
            <w:proofErr w:type="spellStart"/>
            <w:r>
              <w:rPr>
                <w:sz w:val="20"/>
              </w:rPr>
              <w:t>label</w:t>
            </w:r>
            <w:proofErr w:type="spellEnd"/>
            <w:r>
              <w:rPr>
                <w:sz w:val="20"/>
              </w:rPr>
              <w:t xml:space="preserve"> </w:t>
            </w:r>
          </w:p>
        </w:tc>
        <w:tc>
          <w:tcPr>
            <w:tcW w:w="137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6" w:firstLine="0"/>
              <w:jc w:val="center"/>
            </w:pPr>
            <w:r>
              <w:rPr>
                <w:sz w:val="20"/>
              </w:rPr>
              <w:t xml:space="preserve">9H, 3HP </w:t>
            </w:r>
          </w:p>
        </w:tc>
        <w:tc>
          <w:tcPr>
            <w:tcW w:w="2728"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23" w:right="0" w:hanging="23"/>
              <w:jc w:val="center"/>
            </w:pPr>
            <w:r>
              <w:rPr>
                <w:sz w:val="20"/>
              </w:rPr>
              <w:t xml:space="preserve">Pacientes que tomaram, ao menos, uma dose do esquema proposto </w:t>
            </w:r>
          </w:p>
        </w:tc>
      </w:tr>
      <w:tr w:rsidR="00E0069E">
        <w:trPr>
          <w:trHeight w:val="504"/>
        </w:trPr>
        <w:tc>
          <w:tcPr>
            <w:tcW w:w="672"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left"/>
            </w:pPr>
            <w:r>
              <w:rPr>
                <w:sz w:val="20"/>
              </w:rPr>
              <w:t xml:space="preserve">2015 </w:t>
            </w:r>
          </w:p>
        </w:tc>
        <w:tc>
          <w:tcPr>
            <w:tcW w:w="1625"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0" w:firstLine="0"/>
              <w:jc w:val="center"/>
            </w:pPr>
            <w:r>
              <w:rPr>
                <w:sz w:val="20"/>
              </w:rPr>
              <w:t xml:space="preserve">Gray </w:t>
            </w:r>
            <w:r>
              <w:rPr>
                <w:i/>
                <w:sz w:val="20"/>
              </w:rPr>
              <w:t>et al</w:t>
            </w:r>
            <w:r>
              <w:rPr>
                <w:sz w:val="20"/>
              </w:rPr>
              <w:t>.</w:t>
            </w:r>
            <w:r>
              <w:rPr>
                <w:sz w:val="20"/>
                <w:vertAlign w:val="superscript"/>
              </w:rPr>
              <w:t>37</w:t>
            </w:r>
            <w:r>
              <w:rPr>
                <w:sz w:val="20"/>
              </w:rPr>
              <w:t xml:space="preserve"> </w:t>
            </w:r>
          </w:p>
        </w:tc>
        <w:tc>
          <w:tcPr>
            <w:tcW w:w="282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4" w:firstLine="0"/>
              <w:jc w:val="center"/>
            </w:pPr>
            <w:r>
              <w:rPr>
                <w:sz w:val="20"/>
              </w:rPr>
              <w:t xml:space="preserve">Austrália </w:t>
            </w:r>
          </w:p>
        </w:tc>
        <w:tc>
          <w:tcPr>
            <w:tcW w:w="1288"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3" w:firstLine="0"/>
              <w:jc w:val="center"/>
            </w:pPr>
            <w:r>
              <w:rPr>
                <w:sz w:val="20"/>
              </w:rPr>
              <w:t xml:space="preserve">94 </w:t>
            </w:r>
          </w:p>
        </w:tc>
        <w:tc>
          <w:tcPr>
            <w:tcW w:w="1500"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8" w:firstLine="0"/>
              <w:jc w:val="center"/>
            </w:pPr>
            <w:r>
              <w:rPr>
                <w:sz w:val="20"/>
              </w:rPr>
              <w:t>2 – 80</w:t>
            </w:r>
            <w:r>
              <w:rPr>
                <w:color w:val="202124"/>
                <w:sz w:val="20"/>
              </w:rPr>
              <w:t xml:space="preserve"> </w:t>
            </w:r>
          </w:p>
        </w:tc>
        <w:tc>
          <w:tcPr>
            <w:tcW w:w="2192"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Estudo coorte retrospectivo </w:t>
            </w:r>
          </w:p>
        </w:tc>
        <w:tc>
          <w:tcPr>
            <w:tcW w:w="137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2" w:firstLine="0"/>
              <w:jc w:val="center"/>
            </w:pPr>
            <w:r>
              <w:rPr>
                <w:sz w:val="20"/>
              </w:rPr>
              <w:t xml:space="preserve">9H, 4R </w:t>
            </w:r>
          </w:p>
        </w:tc>
        <w:tc>
          <w:tcPr>
            <w:tcW w:w="2728"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População em geral, sem especificidades </w:t>
            </w:r>
          </w:p>
        </w:tc>
      </w:tr>
      <w:tr w:rsidR="00E0069E">
        <w:trPr>
          <w:trHeight w:val="924"/>
        </w:trPr>
        <w:tc>
          <w:tcPr>
            <w:tcW w:w="672" w:type="dxa"/>
            <w:tcBorders>
              <w:top w:val="single" w:sz="3" w:space="0" w:color="BFBFBF"/>
              <w:left w:val="single" w:sz="3" w:space="0" w:color="BFBFBF"/>
              <w:bottom w:val="single" w:sz="3" w:space="0" w:color="000000"/>
              <w:right w:val="single" w:sz="3" w:space="0" w:color="BFBFBF"/>
            </w:tcBorders>
          </w:tcPr>
          <w:p w:rsidR="00E0069E" w:rsidRDefault="00C37FF7">
            <w:pPr>
              <w:spacing w:after="0" w:line="259" w:lineRule="auto"/>
              <w:ind w:left="0" w:right="0" w:firstLine="0"/>
              <w:jc w:val="left"/>
            </w:pPr>
            <w:r>
              <w:rPr>
                <w:sz w:val="20"/>
              </w:rPr>
              <w:t xml:space="preserve">2017 </w:t>
            </w:r>
          </w:p>
        </w:tc>
        <w:tc>
          <w:tcPr>
            <w:tcW w:w="1625" w:type="dxa"/>
            <w:tcBorders>
              <w:top w:val="single" w:sz="3" w:space="0" w:color="BFBFBF"/>
              <w:left w:val="single" w:sz="3" w:space="0" w:color="BFBFBF"/>
              <w:bottom w:val="single" w:sz="3" w:space="0" w:color="000000"/>
              <w:right w:val="single" w:sz="3" w:space="0" w:color="BFBFBF"/>
            </w:tcBorders>
          </w:tcPr>
          <w:p w:rsidR="00E0069E" w:rsidRDefault="00C37FF7">
            <w:pPr>
              <w:spacing w:after="0" w:line="259" w:lineRule="auto"/>
              <w:ind w:left="253" w:right="196" w:firstLine="0"/>
              <w:jc w:val="center"/>
            </w:pPr>
            <w:proofErr w:type="spellStart"/>
            <w:proofErr w:type="gramStart"/>
            <w:r>
              <w:rPr>
                <w:sz w:val="20"/>
              </w:rPr>
              <w:t>Belknap</w:t>
            </w:r>
            <w:proofErr w:type="spellEnd"/>
            <w:r>
              <w:rPr>
                <w:sz w:val="20"/>
              </w:rPr>
              <w:t xml:space="preserve">  </w:t>
            </w:r>
            <w:r>
              <w:rPr>
                <w:i/>
                <w:sz w:val="20"/>
              </w:rPr>
              <w:t>et</w:t>
            </w:r>
            <w:proofErr w:type="gramEnd"/>
            <w:r>
              <w:rPr>
                <w:i/>
                <w:sz w:val="20"/>
              </w:rPr>
              <w:t xml:space="preserve"> al</w:t>
            </w:r>
            <w:r>
              <w:rPr>
                <w:sz w:val="20"/>
              </w:rPr>
              <w:t>.</w:t>
            </w:r>
            <w:r>
              <w:rPr>
                <w:sz w:val="20"/>
                <w:vertAlign w:val="superscript"/>
              </w:rPr>
              <w:t>39</w:t>
            </w:r>
            <w:r>
              <w:rPr>
                <w:sz w:val="20"/>
              </w:rPr>
              <w:t xml:space="preserve"> </w:t>
            </w:r>
          </w:p>
        </w:tc>
        <w:tc>
          <w:tcPr>
            <w:tcW w:w="2821" w:type="dxa"/>
            <w:tcBorders>
              <w:top w:val="single" w:sz="3" w:space="0" w:color="BFBFBF"/>
              <w:left w:val="single" w:sz="3" w:space="0" w:color="BFBFBF"/>
              <w:bottom w:val="single" w:sz="3" w:space="0" w:color="000000"/>
              <w:right w:val="single" w:sz="3" w:space="0" w:color="BFBFBF"/>
            </w:tcBorders>
          </w:tcPr>
          <w:p w:rsidR="00E0069E" w:rsidRDefault="00C37FF7">
            <w:pPr>
              <w:spacing w:after="100" w:line="259" w:lineRule="auto"/>
              <w:ind w:left="0" w:right="58" w:firstLine="0"/>
              <w:jc w:val="center"/>
            </w:pPr>
            <w:r>
              <w:rPr>
                <w:sz w:val="20"/>
              </w:rPr>
              <w:t xml:space="preserve">EUA/Espanha/Hong </w:t>
            </w:r>
          </w:p>
          <w:p w:rsidR="00E0069E" w:rsidRDefault="00C37FF7">
            <w:pPr>
              <w:spacing w:after="0" w:line="259" w:lineRule="auto"/>
              <w:ind w:left="0" w:right="53" w:firstLine="0"/>
              <w:jc w:val="center"/>
            </w:pPr>
            <w:r>
              <w:rPr>
                <w:sz w:val="20"/>
              </w:rPr>
              <w:t xml:space="preserve">Kong/África do Sul </w:t>
            </w:r>
          </w:p>
        </w:tc>
        <w:tc>
          <w:tcPr>
            <w:tcW w:w="1288" w:type="dxa"/>
            <w:tcBorders>
              <w:top w:val="single" w:sz="3" w:space="0" w:color="BFBFBF"/>
              <w:left w:val="single" w:sz="3" w:space="0" w:color="BFBFBF"/>
              <w:bottom w:val="single" w:sz="3" w:space="0" w:color="000000"/>
              <w:right w:val="single" w:sz="3" w:space="0" w:color="BFBFBF"/>
            </w:tcBorders>
          </w:tcPr>
          <w:p w:rsidR="00E0069E" w:rsidRDefault="00C37FF7">
            <w:pPr>
              <w:spacing w:after="0" w:line="259" w:lineRule="auto"/>
              <w:ind w:left="0" w:right="53" w:firstLine="0"/>
              <w:jc w:val="center"/>
            </w:pPr>
            <w:r>
              <w:rPr>
                <w:sz w:val="20"/>
              </w:rPr>
              <w:t xml:space="preserve">1.002 </w:t>
            </w:r>
          </w:p>
        </w:tc>
        <w:tc>
          <w:tcPr>
            <w:tcW w:w="1500" w:type="dxa"/>
            <w:tcBorders>
              <w:top w:val="single" w:sz="3" w:space="0" w:color="BFBFBF"/>
              <w:left w:val="single" w:sz="3" w:space="0" w:color="BFBFBF"/>
              <w:bottom w:val="single" w:sz="3" w:space="0" w:color="000000"/>
              <w:right w:val="single" w:sz="3" w:space="0" w:color="BFBFBF"/>
            </w:tcBorders>
            <w:vAlign w:val="center"/>
          </w:tcPr>
          <w:p w:rsidR="00E0069E" w:rsidRDefault="00C37FF7">
            <w:pPr>
              <w:spacing w:after="0" w:line="259" w:lineRule="auto"/>
              <w:ind w:left="0" w:right="53" w:firstLine="0"/>
              <w:jc w:val="center"/>
            </w:pPr>
            <w:r>
              <w:rPr>
                <w:color w:val="202124"/>
                <w:sz w:val="20"/>
              </w:rPr>
              <w:t>≥ 18</w:t>
            </w:r>
            <w:r>
              <w:rPr>
                <w:sz w:val="20"/>
              </w:rPr>
              <w:t xml:space="preserve"> </w:t>
            </w:r>
          </w:p>
        </w:tc>
        <w:tc>
          <w:tcPr>
            <w:tcW w:w="2192" w:type="dxa"/>
            <w:tcBorders>
              <w:top w:val="single" w:sz="3" w:space="0" w:color="BFBFBF"/>
              <w:left w:val="single" w:sz="3" w:space="0" w:color="BFBFBF"/>
              <w:bottom w:val="single" w:sz="3" w:space="0" w:color="000000"/>
              <w:right w:val="single" w:sz="3" w:space="0" w:color="BFBFBF"/>
            </w:tcBorders>
            <w:vAlign w:val="center"/>
          </w:tcPr>
          <w:p w:rsidR="00E0069E" w:rsidRDefault="00C37FF7">
            <w:pPr>
              <w:spacing w:after="0" w:line="259" w:lineRule="auto"/>
              <w:ind w:left="0" w:right="0" w:firstLine="0"/>
              <w:jc w:val="center"/>
            </w:pPr>
            <w:r>
              <w:rPr>
                <w:sz w:val="20"/>
              </w:rPr>
              <w:t>Ensaio clínico, randomizado, open-</w:t>
            </w:r>
            <w:proofErr w:type="spellStart"/>
            <w:r>
              <w:rPr>
                <w:sz w:val="20"/>
              </w:rPr>
              <w:t>label</w:t>
            </w:r>
            <w:proofErr w:type="spellEnd"/>
            <w:r>
              <w:rPr>
                <w:sz w:val="20"/>
              </w:rPr>
              <w:t xml:space="preserve"> </w:t>
            </w:r>
          </w:p>
        </w:tc>
        <w:tc>
          <w:tcPr>
            <w:tcW w:w="1377" w:type="dxa"/>
            <w:tcBorders>
              <w:top w:val="single" w:sz="3" w:space="0" w:color="BFBFBF"/>
              <w:left w:val="single" w:sz="3" w:space="0" w:color="BFBFBF"/>
              <w:bottom w:val="single" w:sz="3" w:space="0" w:color="000000"/>
              <w:right w:val="single" w:sz="3" w:space="0" w:color="BFBFBF"/>
            </w:tcBorders>
          </w:tcPr>
          <w:p w:rsidR="00E0069E" w:rsidRDefault="00C37FF7">
            <w:pPr>
              <w:spacing w:after="0" w:line="259" w:lineRule="auto"/>
              <w:ind w:left="0" w:right="47" w:firstLine="0"/>
              <w:jc w:val="center"/>
            </w:pPr>
            <w:r>
              <w:rPr>
                <w:sz w:val="20"/>
              </w:rPr>
              <w:t xml:space="preserve">3HP </w:t>
            </w:r>
          </w:p>
        </w:tc>
        <w:tc>
          <w:tcPr>
            <w:tcW w:w="2728" w:type="dxa"/>
            <w:tcBorders>
              <w:top w:val="single" w:sz="3" w:space="0" w:color="BFBFBF"/>
              <w:left w:val="single" w:sz="3" w:space="0" w:color="BFBFBF"/>
              <w:bottom w:val="single" w:sz="3" w:space="0" w:color="000000"/>
              <w:right w:val="single" w:sz="3" w:space="0" w:color="BFBFBF"/>
            </w:tcBorders>
            <w:vAlign w:val="center"/>
          </w:tcPr>
          <w:p w:rsidR="00E0069E" w:rsidRDefault="00C37FF7">
            <w:pPr>
              <w:spacing w:after="0" w:line="259" w:lineRule="auto"/>
              <w:ind w:left="0" w:right="0" w:firstLine="0"/>
              <w:jc w:val="center"/>
            </w:pPr>
            <w:r>
              <w:rPr>
                <w:sz w:val="20"/>
              </w:rPr>
              <w:t xml:space="preserve">Maiores de 18 anos com indicação de tratamento preventivo da ILTB </w:t>
            </w:r>
          </w:p>
        </w:tc>
      </w:tr>
    </w:tbl>
    <w:p w:rsidR="00E0069E" w:rsidRDefault="00C37FF7">
      <w:pPr>
        <w:spacing w:after="142" w:line="259" w:lineRule="auto"/>
        <w:ind w:left="807" w:right="799"/>
        <w:jc w:val="center"/>
      </w:pPr>
      <w:r>
        <w:rPr>
          <w:b/>
          <w:sz w:val="20"/>
        </w:rPr>
        <w:t>QUADRO 1 -</w:t>
      </w:r>
      <w:r>
        <w:rPr>
          <w:b/>
          <w:sz w:val="20"/>
          <w:vertAlign w:val="subscript"/>
        </w:rPr>
        <w:t xml:space="preserve"> </w:t>
      </w:r>
      <w:r>
        <w:rPr>
          <w:sz w:val="20"/>
        </w:rPr>
        <w:t xml:space="preserve">Descrição das características do estudo. </w:t>
      </w:r>
    </w:p>
    <w:p w:rsidR="00E0069E" w:rsidRDefault="00C37FF7">
      <w:pPr>
        <w:spacing w:after="0" w:line="259" w:lineRule="auto"/>
        <w:ind w:left="10" w:right="-15"/>
        <w:jc w:val="right"/>
      </w:pPr>
      <w:r>
        <w:rPr>
          <w:sz w:val="20"/>
        </w:rPr>
        <w:t xml:space="preserve">(Continua) </w:t>
      </w:r>
    </w:p>
    <w:tbl>
      <w:tblPr>
        <w:tblStyle w:val="TableGrid"/>
        <w:tblW w:w="14035" w:type="dxa"/>
        <w:tblInd w:w="4" w:type="dxa"/>
        <w:tblCellMar>
          <w:top w:w="11" w:type="dxa"/>
          <w:left w:w="108" w:type="dxa"/>
          <w:bottom w:w="0" w:type="dxa"/>
          <w:right w:w="56" w:type="dxa"/>
        </w:tblCellMar>
        <w:tblLook w:val="04A0" w:firstRow="1" w:lastRow="0" w:firstColumn="1" w:lastColumn="0" w:noHBand="0" w:noVBand="1"/>
      </w:tblPr>
      <w:tblGrid>
        <w:gridCol w:w="663"/>
        <w:gridCol w:w="1601"/>
        <w:gridCol w:w="2837"/>
        <w:gridCol w:w="1276"/>
        <w:gridCol w:w="1416"/>
        <w:gridCol w:w="2129"/>
        <w:gridCol w:w="1416"/>
        <w:gridCol w:w="2697"/>
      </w:tblGrid>
      <w:tr w:rsidR="00E0069E">
        <w:trPr>
          <w:trHeight w:val="584"/>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b/>
                <w:sz w:val="20"/>
              </w:rPr>
              <w:t>Ano</w:t>
            </w:r>
            <w:r>
              <w:rPr>
                <w:sz w:val="20"/>
              </w:rPr>
              <w:t xml:space="preserve"> </w:t>
            </w:r>
          </w:p>
        </w:tc>
        <w:tc>
          <w:tcPr>
            <w:tcW w:w="160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9" w:right="5" w:firstLine="0"/>
              <w:jc w:val="center"/>
            </w:pPr>
            <w:r>
              <w:rPr>
                <w:b/>
                <w:sz w:val="20"/>
              </w:rPr>
              <w:t>Primeiro autor, ano.</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4" w:firstLine="0"/>
              <w:jc w:val="center"/>
            </w:pPr>
            <w:r>
              <w:rPr>
                <w:b/>
                <w:sz w:val="20"/>
              </w:rPr>
              <w:t>País</w:t>
            </w:r>
            <w:r>
              <w:rPr>
                <w:sz w:val="20"/>
              </w:rPr>
              <w:t xml:space="preserve"> </w:t>
            </w:r>
          </w:p>
        </w:tc>
        <w:tc>
          <w:tcPr>
            <w:tcW w:w="127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3" w:firstLine="0"/>
              <w:jc w:val="center"/>
            </w:pPr>
            <w:r>
              <w:rPr>
                <w:b/>
                <w:sz w:val="20"/>
              </w:rPr>
              <w:t xml:space="preserve">Amostra </w:t>
            </w:r>
          </w:p>
          <w:p w:rsidR="00E0069E" w:rsidRDefault="00C37FF7">
            <w:pPr>
              <w:spacing w:after="0" w:line="259" w:lineRule="auto"/>
              <w:ind w:left="0" w:right="54" w:firstLine="0"/>
              <w:jc w:val="center"/>
            </w:pPr>
            <w:r>
              <w:rPr>
                <w:b/>
                <w:sz w:val="20"/>
              </w:rPr>
              <w:t>(n)</w:t>
            </w:r>
            <w:r>
              <w:rPr>
                <w:sz w:val="20"/>
              </w:rPr>
              <w:t xml:space="preserve">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12" w:right="0" w:firstLine="0"/>
              <w:jc w:val="left"/>
            </w:pPr>
            <w:r>
              <w:rPr>
                <w:b/>
                <w:sz w:val="20"/>
              </w:rPr>
              <w:t>Idade (anos)</w:t>
            </w:r>
            <w:r>
              <w:rPr>
                <w:sz w:val="20"/>
              </w:rPr>
              <w:t xml:space="preserve"> </w:t>
            </w:r>
          </w:p>
        </w:tc>
        <w:tc>
          <w:tcPr>
            <w:tcW w:w="2129"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2" w:firstLine="0"/>
              <w:jc w:val="center"/>
            </w:pPr>
            <w:r>
              <w:rPr>
                <w:b/>
                <w:sz w:val="20"/>
              </w:rPr>
              <w:t>Tipo do estudo</w:t>
            </w:r>
            <w:r>
              <w:rPr>
                <w:sz w:val="20"/>
              </w:rPr>
              <w:t xml:space="preserve">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56" w:right="0" w:firstLine="0"/>
              <w:jc w:val="left"/>
            </w:pPr>
            <w:r>
              <w:rPr>
                <w:b/>
                <w:sz w:val="20"/>
              </w:rPr>
              <w:t>Tratamento</w:t>
            </w:r>
            <w:r>
              <w:rPr>
                <w:sz w:val="20"/>
              </w:rPr>
              <w:t xml:space="preserve">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b/>
                <w:sz w:val="20"/>
              </w:rPr>
              <w:t xml:space="preserve">População </w:t>
            </w:r>
          </w:p>
        </w:tc>
      </w:tr>
      <w:tr w:rsidR="00E0069E">
        <w:trPr>
          <w:trHeight w:val="700"/>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2017</w:t>
            </w:r>
            <w:r>
              <w:rPr>
                <w:b/>
                <w:sz w:val="20"/>
              </w:rPr>
              <w:t xml:space="preserve">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114" w:firstLine="0"/>
              <w:jc w:val="right"/>
            </w:pPr>
            <w:proofErr w:type="spellStart"/>
            <w:r>
              <w:rPr>
                <w:sz w:val="20"/>
              </w:rPr>
              <w:t>Sandul</w:t>
            </w:r>
            <w:proofErr w:type="spellEnd"/>
            <w:r>
              <w:rPr>
                <w:sz w:val="20"/>
              </w:rPr>
              <w:t xml:space="preserve"> </w:t>
            </w:r>
            <w:r>
              <w:rPr>
                <w:i/>
                <w:sz w:val="20"/>
              </w:rPr>
              <w:t>et al</w:t>
            </w:r>
            <w:r>
              <w:rPr>
                <w:sz w:val="20"/>
              </w:rPr>
              <w:t>.</w:t>
            </w:r>
            <w:r>
              <w:rPr>
                <w:sz w:val="20"/>
                <w:vertAlign w:val="superscript"/>
              </w:rPr>
              <w:t>25</w:t>
            </w:r>
            <w:r>
              <w:rPr>
                <w:sz w:val="20"/>
              </w:rPr>
              <w:t xml:space="preserve"> </w:t>
            </w:r>
            <w:r>
              <w:rPr>
                <w:b/>
                <w:sz w:val="20"/>
              </w:rPr>
              <w:t xml:space="preserve"> </w:t>
            </w:r>
          </w:p>
        </w:tc>
        <w:tc>
          <w:tcPr>
            <w:tcW w:w="283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4" w:firstLine="0"/>
              <w:jc w:val="center"/>
            </w:pPr>
            <w:r>
              <w:rPr>
                <w:sz w:val="20"/>
              </w:rPr>
              <w:t>EUA</w:t>
            </w:r>
            <w:r>
              <w:rPr>
                <w:b/>
                <w:sz w:val="20"/>
              </w:rPr>
              <w:t xml:space="preserve">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sz w:val="20"/>
              </w:rPr>
              <w:t>3.288</w:t>
            </w:r>
            <w:r>
              <w:rPr>
                <w:b/>
                <w:sz w:val="20"/>
              </w:rPr>
              <w:t xml:space="preserve">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8" w:firstLine="0"/>
              <w:jc w:val="center"/>
            </w:pPr>
            <w:r>
              <w:rPr>
                <w:color w:val="202124"/>
                <w:sz w:val="20"/>
              </w:rPr>
              <w:t xml:space="preserve">≥ </w:t>
            </w:r>
            <w:r>
              <w:rPr>
                <w:sz w:val="20"/>
              </w:rPr>
              <w:t>2</w:t>
            </w:r>
            <w:r>
              <w:rPr>
                <w:b/>
                <w:sz w:val="20"/>
              </w:rPr>
              <w:t xml:space="preserve"> </w:t>
            </w:r>
          </w:p>
        </w:tc>
        <w:tc>
          <w:tcPr>
            <w:tcW w:w="2129"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center"/>
            </w:pPr>
            <w:r>
              <w:rPr>
                <w:sz w:val="20"/>
              </w:rPr>
              <w:t>Estudo coorte retrospectivo</w:t>
            </w:r>
            <w:r>
              <w:rPr>
                <w:b/>
                <w:sz w:val="20"/>
              </w:rPr>
              <w:t xml:space="preserve">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sz w:val="20"/>
              </w:rPr>
              <w:t>3HP</w:t>
            </w:r>
            <w:r>
              <w:rPr>
                <w:b/>
                <w:sz w:val="20"/>
              </w:rPr>
              <w:t xml:space="preserve"> </w:t>
            </w:r>
          </w:p>
        </w:tc>
        <w:tc>
          <w:tcPr>
            <w:tcW w:w="269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51" w:right="15" w:hanging="39"/>
              <w:jc w:val="center"/>
            </w:pPr>
            <w:r>
              <w:rPr>
                <w:sz w:val="20"/>
              </w:rPr>
              <w:t xml:space="preserve">Pacientes com dois anos ou mais, sem especificidades </w:t>
            </w:r>
          </w:p>
        </w:tc>
      </w:tr>
      <w:tr w:rsidR="00E0069E">
        <w:trPr>
          <w:trHeight w:val="700"/>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lastRenderedPageBreak/>
              <w:t xml:space="preserve">2017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24" w:right="0" w:firstLine="0"/>
              <w:jc w:val="left"/>
            </w:pPr>
            <w:proofErr w:type="spellStart"/>
            <w:r>
              <w:rPr>
                <w:sz w:val="20"/>
              </w:rPr>
              <w:t>Simkins</w:t>
            </w:r>
            <w:proofErr w:type="spellEnd"/>
            <w:r>
              <w:rPr>
                <w:sz w:val="20"/>
              </w:rPr>
              <w:t xml:space="preserve"> </w:t>
            </w:r>
            <w:r>
              <w:rPr>
                <w:i/>
                <w:sz w:val="20"/>
              </w:rPr>
              <w:t>et al</w:t>
            </w:r>
            <w:r>
              <w:rPr>
                <w:sz w:val="20"/>
              </w:rPr>
              <w:t>.</w:t>
            </w:r>
            <w:r>
              <w:rPr>
                <w:sz w:val="20"/>
                <w:vertAlign w:val="superscript"/>
              </w:rPr>
              <w:t>26</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4" w:firstLine="0"/>
              <w:jc w:val="center"/>
            </w:pPr>
            <w:r>
              <w:rPr>
                <w:sz w:val="20"/>
              </w:rPr>
              <w:t xml:space="preserve">EUA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sz w:val="20"/>
              </w:rPr>
              <w:t xml:space="preserve">153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8" w:firstLine="0"/>
              <w:jc w:val="center"/>
            </w:pPr>
            <w:r>
              <w:rPr>
                <w:color w:val="202124"/>
                <w:sz w:val="20"/>
              </w:rPr>
              <w:t xml:space="preserve">Geral </w:t>
            </w:r>
          </w:p>
        </w:tc>
        <w:tc>
          <w:tcPr>
            <w:tcW w:w="2129"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center"/>
            </w:pPr>
            <w:r>
              <w:rPr>
                <w:sz w:val="20"/>
              </w:rPr>
              <w:t xml:space="preserve">Estudo coorte retrospectivo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sz w:val="20"/>
              </w:rPr>
              <w:t xml:space="preserve">9H, 3HP </w:t>
            </w:r>
          </w:p>
        </w:tc>
        <w:tc>
          <w:tcPr>
            <w:tcW w:w="269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42" w:lineRule="auto"/>
              <w:ind w:left="0" w:right="0" w:firstLine="0"/>
              <w:jc w:val="center"/>
            </w:pPr>
            <w:r>
              <w:rPr>
                <w:sz w:val="20"/>
              </w:rPr>
              <w:t xml:space="preserve">Pacientes renais crônicos, candidatos a transplante </w:t>
            </w:r>
          </w:p>
          <w:p w:rsidR="00E0069E" w:rsidRDefault="00C37FF7">
            <w:pPr>
              <w:spacing w:after="0" w:line="259" w:lineRule="auto"/>
              <w:ind w:left="0" w:right="61" w:firstLine="0"/>
              <w:jc w:val="center"/>
            </w:pPr>
            <w:r>
              <w:rPr>
                <w:sz w:val="20"/>
              </w:rPr>
              <w:t xml:space="preserve">renal  </w:t>
            </w:r>
          </w:p>
        </w:tc>
      </w:tr>
      <w:tr w:rsidR="00E0069E">
        <w:trPr>
          <w:trHeight w:val="580"/>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2016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114" w:firstLine="0"/>
              <w:jc w:val="right"/>
            </w:pPr>
            <w:proofErr w:type="spellStart"/>
            <w:r>
              <w:rPr>
                <w:sz w:val="20"/>
              </w:rPr>
              <w:t>Erkens</w:t>
            </w:r>
            <w:proofErr w:type="spellEnd"/>
            <w:r>
              <w:rPr>
                <w:sz w:val="20"/>
              </w:rPr>
              <w:t xml:space="preserve"> </w:t>
            </w:r>
            <w:r>
              <w:rPr>
                <w:i/>
                <w:sz w:val="20"/>
              </w:rPr>
              <w:t>et al</w:t>
            </w:r>
            <w:r>
              <w:rPr>
                <w:sz w:val="20"/>
              </w:rPr>
              <w:t>.</w:t>
            </w:r>
            <w:r>
              <w:rPr>
                <w:sz w:val="20"/>
                <w:vertAlign w:val="superscript"/>
              </w:rPr>
              <w:t>40</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4" w:firstLine="0"/>
              <w:jc w:val="center"/>
            </w:pPr>
            <w:r>
              <w:rPr>
                <w:sz w:val="20"/>
              </w:rPr>
              <w:t xml:space="preserve">Holanda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0" w:firstLine="0"/>
              <w:jc w:val="center"/>
            </w:pPr>
            <w:r>
              <w:rPr>
                <w:sz w:val="20"/>
              </w:rPr>
              <w:t xml:space="preserve">27.748 </w:t>
            </w:r>
          </w:p>
        </w:tc>
        <w:tc>
          <w:tcPr>
            <w:tcW w:w="141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color w:val="202124"/>
                <w:sz w:val="20"/>
              </w:rPr>
              <w:t xml:space="preserve">Todas as idades </w:t>
            </w:r>
          </w:p>
        </w:tc>
        <w:tc>
          <w:tcPr>
            <w:tcW w:w="2129"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191" w:right="127" w:firstLine="0"/>
              <w:jc w:val="center"/>
            </w:pPr>
            <w:r>
              <w:rPr>
                <w:sz w:val="20"/>
              </w:rPr>
              <w:t xml:space="preserve">Estudo </w:t>
            </w:r>
            <w:proofErr w:type="gramStart"/>
            <w:r>
              <w:rPr>
                <w:sz w:val="20"/>
              </w:rPr>
              <w:t>de  análise</w:t>
            </w:r>
            <w:proofErr w:type="gramEnd"/>
            <w:r>
              <w:rPr>
                <w:sz w:val="20"/>
              </w:rPr>
              <w:t xml:space="preserve"> descritiva </w:t>
            </w:r>
          </w:p>
        </w:tc>
        <w:tc>
          <w:tcPr>
            <w:tcW w:w="141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6-9H, 4R, 34HR </w:t>
            </w:r>
          </w:p>
        </w:tc>
        <w:tc>
          <w:tcPr>
            <w:tcW w:w="269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População em geral, sem especificidades </w:t>
            </w:r>
          </w:p>
        </w:tc>
      </w:tr>
      <w:tr w:rsidR="00E0069E">
        <w:trPr>
          <w:trHeight w:val="1045"/>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2018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372" w:right="149" w:hanging="52"/>
              <w:jc w:val="left"/>
            </w:pPr>
            <w:proofErr w:type="spellStart"/>
            <w:proofErr w:type="gramStart"/>
            <w:r>
              <w:rPr>
                <w:sz w:val="20"/>
              </w:rPr>
              <w:t>Menzies</w:t>
            </w:r>
            <w:proofErr w:type="spellEnd"/>
            <w:r>
              <w:rPr>
                <w:sz w:val="20"/>
              </w:rPr>
              <w:t xml:space="preserve">  </w:t>
            </w:r>
            <w:r>
              <w:rPr>
                <w:i/>
                <w:sz w:val="20"/>
              </w:rPr>
              <w:t>et</w:t>
            </w:r>
            <w:proofErr w:type="gramEnd"/>
            <w:r>
              <w:rPr>
                <w:i/>
                <w:sz w:val="20"/>
              </w:rPr>
              <w:t xml:space="preserve"> al</w:t>
            </w:r>
            <w:r>
              <w:rPr>
                <w:sz w:val="20"/>
              </w:rPr>
              <w:t>.</w:t>
            </w:r>
            <w:r>
              <w:rPr>
                <w:sz w:val="20"/>
                <w:vertAlign w:val="superscript"/>
              </w:rPr>
              <w:t>35</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360" w:lineRule="auto"/>
              <w:ind w:left="0" w:right="0" w:firstLine="0"/>
              <w:jc w:val="center"/>
            </w:pPr>
            <w:r>
              <w:rPr>
                <w:sz w:val="20"/>
              </w:rPr>
              <w:t xml:space="preserve">Austrália/Benim/Brasil/Gana/ Canadá/Guiné/Indonésia/ </w:t>
            </w:r>
          </w:p>
          <w:p w:rsidR="00E0069E" w:rsidRDefault="00C37FF7">
            <w:pPr>
              <w:spacing w:after="0" w:line="259" w:lineRule="auto"/>
              <w:ind w:left="20" w:right="0" w:firstLine="0"/>
              <w:jc w:val="left"/>
            </w:pPr>
            <w:r>
              <w:rPr>
                <w:sz w:val="20"/>
              </w:rPr>
              <w:t xml:space="preserve">Arábia Saudita/Coreia do Sul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sz w:val="20"/>
              </w:rPr>
              <w:t xml:space="preserve">6.012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color w:val="202124"/>
                <w:sz w:val="20"/>
              </w:rPr>
              <w:t xml:space="preserve">≥ 18 </w:t>
            </w:r>
          </w:p>
        </w:tc>
        <w:tc>
          <w:tcPr>
            <w:tcW w:w="2129"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3" w:line="239" w:lineRule="auto"/>
              <w:ind w:left="0" w:right="0" w:firstLine="0"/>
              <w:jc w:val="center"/>
            </w:pPr>
            <w:r>
              <w:rPr>
                <w:sz w:val="20"/>
              </w:rPr>
              <w:t xml:space="preserve">Ensaio clínico randomizado,  </w:t>
            </w:r>
          </w:p>
          <w:p w:rsidR="00E0069E" w:rsidRDefault="00C37FF7">
            <w:pPr>
              <w:spacing w:after="0" w:line="259" w:lineRule="auto"/>
              <w:ind w:left="0" w:right="43" w:firstLine="0"/>
              <w:jc w:val="center"/>
            </w:pPr>
            <w:r>
              <w:rPr>
                <w:sz w:val="20"/>
              </w:rPr>
              <w:t>open-</w:t>
            </w:r>
            <w:proofErr w:type="spellStart"/>
            <w:r>
              <w:rPr>
                <w:sz w:val="20"/>
              </w:rPr>
              <w:t>label</w:t>
            </w:r>
            <w:proofErr w:type="spellEnd"/>
            <w:r>
              <w:rPr>
                <w:sz w:val="20"/>
              </w:rPr>
              <w:t xml:space="preserve">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2" w:firstLine="0"/>
              <w:jc w:val="center"/>
            </w:pPr>
            <w:r>
              <w:rPr>
                <w:sz w:val="20"/>
              </w:rPr>
              <w:t xml:space="preserve">9H, 4R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center"/>
            </w:pPr>
            <w:r>
              <w:rPr>
                <w:sz w:val="20"/>
              </w:rPr>
              <w:t xml:space="preserve">Pacientes adultos com comorbidades  </w:t>
            </w:r>
          </w:p>
        </w:tc>
      </w:tr>
      <w:tr w:rsidR="00E0069E">
        <w:trPr>
          <w:trHeight w:val="700"/>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2018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0" w:firstLine="0"/>
              <w:jc w:val="center"/>
            </w:pPr>
            <w:r>
              <w:rPr>
                <w:sz w:val="20"/>
              </w:rPr>
              <w:t xml:space="preserve">Gao </w:t>
            </w:r>
            <w:r>
              <w:rPr>
                <w:i/>
                <w:sz w:val="20"/>
              </w:rPr>
              <w:t>et al</w:t>
            </w:r>
            <w:r>
              <w:rPr>
                <w:sz w:val="20"/>
              </w:rPr>
              <w:t>.</w:t>
            </w:r>
            <w:r>
              <w:rPr>
                <w:sz w:val="20"/>
                <w:vertAlign w:val="superscript"/>
              </w:rPr>
              <w:t>43</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3" w:firstLine="0"/>
              <w:jc w:val="center"/>
            </w:pPr>
            <w:r>
              <w:rPr>
                <w:sz w:val="20"/>
              </w:rPr>
              <w:t xml:space="preserve">China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sz w:val="20"/>
              </w:rPr>
              <w:t xml:space="preserve">3.738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8" w:firstLine="0"/>
              <w:jc w:val="center"/>
            </w:pPr>
            <w:r>
              <w:rPr>
                <w:sz w:val="20"/>
              </w:rPr>
              <w:t>50 - 69</w:t>
            </w:r>
            <w:r>
              <w:rPr>
                <w:color w:val="202124"/>
                <w:sz w:val="20"/>
              </w:rPr>
              <w:t xml:space="preserve"> </w:t>
            </w:r>
          </w:p>
        </w:tc>
        <w:tc>
          <w:tcPr>
            <w:tcW w:w="2129" w:type="dxa"/>
            <w:tcBorders>
              <w:top w:val="single" w:sz="3" w:space="0" w:color="BFBFBF"/>
              <w:left w:val="single" w:sz="3" w:space="0" w:color="BFBFBF"/>
              <w:bottom w:val="single" w:sz="3" w:space="0" w:color="BFBFBF"/>
              <w:right w:val="single" w:sz="3" w:space="0" w:color="BFBFBF"/>
            </w:tcBorders>
          </w:tcPr>
          <w:p w:rsidR="00E0069E" w:rsidRDefault="00C37FF7">
            <w:pPr>
              <w:spacing w:after="4" w:line="238" w:lineRule="auto"/>
              <w:ind w:left="0" w:right="0" w:firstLine="0"/>
              <w:jc w:val="center"/>
            </w:pPr>
            <w:r>
              <w:rPr>
                <w:sz w:val="20"/>
              </w:rPr>
              <w:t xml:space="preserve">Ensaio clínico randomizado, </w:t>
            </w:r>
            <w:r>
              <w:rPr>
                <w:sz w:val="20"/>
              </w:rPr>
              <w:t xml:space="preserve"> </w:t>
            </w:r>
          </w:p>
          <w:p w:rsidR="00E0069E" w:rsidRDefault="00C37FF7">
            <w:pPr>
              <w:spacing w:after="0" w:line="259" w:lineRule="auto"/>
              <w:ind w:left="0" w:right="43" w:firstLine="0"/>
              <w:jc w:val="center"/>
            </w:pPr>
            <w:r>
              <w:rPr>
                <w:sz w:val="20"/>
              </w:rPr>
              <w:t>open-</w:t>
            </w:r>
            <w:proofErr w:type="spellStart"/>
            <w:r>
              <w:rPr>
                <w:sz w:val="20"/>
              </w:rPr>
              <w:t>label</w:t>
            </w:r>
            <w:proofErr w:type="spellEnd"/>
            <w:r>
              <w:rPr>
                <w:sz w:val="20"/>
              </w:rPr>
              <w:t xml:space="preserve">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84" w:right="0" w:firstLine="0"/>
              <w:jc w:val="left"/>
            </w:pPr>
            <w:r>
              <w:rPr>
                <w:sz w:val="20"/>
              </w:rPr>
              <w:t>3HP, 2H</w:t>
            </w:r>
            <w:r>
              <w:rPr>
                <w:sz w:val="20"/>
                <w:vertAlign w:val="subscript"/>
              </w:rPr>
              <w:t>2</w:t>
            </w:r>
            <w:r>
              <w:rPr>
                <w:sz w:val="20"/>
              </w:rPr>
              <w:t>P</w:t>
            </w:r>
            <w:r>
              <w:rPr>
                <w:sz w:val="20"/>
                <w:vertAlign w:val="subscript"/>
              </w:rPr>
              <w:t>2</w:t>
            </w:r>
            <w:r>
              <w:rPr>
                <w:sz w:val="20"/>
              </w:rPr>
              <w:t xml:space="preserve">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60" w:firstLine="0"/>
              <w:jc w:val="center"/>
            </w:pPr>
            <w:r>
              <w:rPr>
                <w:sz w:val="20"/>
              </w:rPr>
              <w:t xml:space="preserve">Idosos de área rural  </w:t>
            </w:r>
          </w:p>
        </w:tc>
      </w:tr>
      <w:tr w:rsidR="00E0069E">
        <w:trPr>
          <w:trHeight w:val="932"/>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2018</w:t>
            </w:r>
            <w:r>
              <w:rPr>
                <w:b/>
                <w:sz w:val="20"/>
              </w:rPr>
              <w:t xml:space="preserve">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0" w:firstLine="0"/>
              <w:jc w:val="center"/>
            </w:pPr>
            <w:r>
              <w:rPr>
                <w:sz w:val="20"/>
              </w:rPr>
              <w:t xml:space="preserve">Sun </w:t>
            </w:r>
            <w:r>
              <w:rPr>
                <w:i/>
                <w:sz w:val="20"/>
              </w:rPr>
              <w:t>et al</w:t>
            </w:r>
            <w:r>
              <w:rPr>
                <w:sz w:val="20"/>
              </w:rPr>
              <w:t>.</w:t>
            </w:r>
            <w:r>
              <w:rPr>
                <w:sz w:val="20"/>
                <w:vertAlign w:val="superscript"/>
              </w:rPr>
              <w:t>28</w:t>
            </w:r>
            <w:r>
              <w:rPr>
                <w:sz w:val="20"/>
              </w:rPr>
              <w:t xml:space="preserve"> </w:t>
            </w:r>
            <w:r>
              <w:rPr>
                <w:b/>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0" w:firstLine="0"/>
              <w:jc w:val="center"/>
            </w:pPr>
            <w:r>
              <w:rPr>
                <w:sz w:val="20"/>
              </w:rPr>
              <w:t>Taiwan</w:t>
            </w:r>
            <w:r>
              <w:rPr>
                <w:b/>
                <w:sz w:val="20"/>
              </w:rPr>
              <w:t xml:space="preserve">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sz w:val="20"/>
              </w:rPr>
              <w:t>283</w:t>
            </w:r>
            <w:r>
              <w:rPr>
                <w:b/>
                <w:sz w:val="20"/>
              </w:rPr>
              <w:t xml:space="preserve">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8" w:firstLine="0"/>
              <w:jc w:val="center"/>
            </w:pPr>
            <w:r>
              <w:rPr>
                <w:color w:val="202124"/>
                <w:sz w:val="20"/>
              </w:rPr>
              <w:t xml:space="preserve">≥ </w:t>
            </w:r>
            <w:r>
              <w:rPr>
                <w:sz w:val="20"/>
              </w:rPr>
              <w:t>12</w:t>
            </w:r>
            <w:r>
              <w:rPr>
                <w:b/>
                <w:sz w:val="20"/>
              </w:rPr>
              <w:t xml:space="preserve"> </w:t>
            </w:r>
          </w:p>
        </w:tc>
        <w:tc>
          <w:tcPr>
            <w:tcW w:w="2129" w:type="dxa"/>
            <w:tcBorders>
              <w:top w:val="single" w:sz="3" w:space="0" w:color="BFBFBF"/>
              <w:left w:val="single" w:sz="3" w:space="0" w:color="BFBFBF"/>
              <w:bottom w:val="single" w:sz="3" w:space="0" w:color="BFBFBF"/>
              <w:right w:val="single" w:sz="3" w:space="0" w:color="BFBFBF"/>
            </w:tcBorders>
          </w:tcPr>
          <w:p w:rsidR="00E0069E" w:rsidRDefault="00C37FF7">
            <w:pPr>
              <w:spacing w:after="4" w:line="238" w:lineRule="auto"/>
              <w:ind w:left="0" w:right="0" w:firstLine="0"/>
              <w:jc w:val="center"/>
            </w:pPr>
            <w:r>
              <w:rPr>
                <w:sz w:val="20"/>
              </w:rPr>
              <w:t xml:space="preserve">Estudo coorte prospectivo, </w:t>
            </w:r>
          </w:p>
          <w:p w:rsidR="00E0069E" w:rsidRDefault="00C37FF7">
            <w:pPr>
              <w:spacing w:after="0" w:line="259" w:lineRule="auto"/>
              <w:ind w:left="0" w:right="46" w:firstLine="0"/>
              <w:jc w:val="center"/>
            </w:pPr>
            <w:r>
              <w:rPr>
                <w:sz w:val="20"/>
              </w:rPr>
              <w:t xml:space="preserve">randomizado,  </w:t>
            </w:r>
          </w:p>
          <w:p w:rsidR="00E0069E" w:rsidRDefault="00C37FF7">
            <w:pPr>
              <w:spacing w:after="0" w:line="259" w:lineRule="auto"/>
              <w:ind w:left="0" w:right="43" w:firstLine="0"/>
              <w:jc w:val="center"/>
            </w:pPr>
            <w:r>
              <w:rPr>
                <w:sz w:val="20"/>
              </w:rPr>
              <w:t>open-</w:t>
            </w:r>
            <w:proofErr w:type="spellStart"/>
            <w:r>
              <w:rPr>
                <w:sz w:val="20"/>
              </w:rPr>
              <w:t>label</w:t>
            </w:r>
            <w:proofErr w:type="spellEnd"/>
            <w:r>
              <w:rPr>
                <w:b/>
                <w:sz w:val="20"/>
              </w:rPr>
              <w:t xml:space="preserve">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sz w:val="20"/>
              </w:rPr>
              <w:t>9H, 3HP</w:t>
            </w:r>
            <w:r>
              <w:rPr>
                <w:b/>
                <w:sz w:val="20"/>
              </w:rPr>
              <w:t xml:space="preserve">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center"/>
            </w:pPr>
            <w:r>
              <w:rPr>
                <w:sz w:val="20"/>
              </w:rPr>
              <w:t xml:space="preserve">Pacientes com mais de 12 anos que tiveram contato com pessoas com TB ativa </w:t>
            </w:r>
          </w:p>
        </w:tc>
      </w:tr>
      <w:tr w:rsidR="00E0069E">
        <w:trPr>
          <w:trHeight w:val="700"/>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2018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0" w:firstLine="0"/>
              <w:jc w:val="center"/>
            </w:pPr>
            <w:proofErr w:type="spellStart"/>
            <w:r>
              <w:rPr>
                <w:sz w:val="20"/>
              </w:rPr>
              <w:t>Diallo</w:t>
            </w:r>
            <w:proofErr w:type="spellEnd"/>
            <w:r>
              <w:rPr>
                <w:sz w:val="20"/>
              </w:rPr>
              <w:t xml:space="preserve"> </w:t>
            </w:r>
            <w:r>
              <w:rPr>
                <w:i/>
                <w:sz w:val="20"/>
              </w:rPr>
              <w:t>et al</w:t>
            </w:r>
            <w:r>
              <w:rPr>
                <w:sz w:val="20"/>
              </w:rPr>
              <w:t>.</w:t>
            </w:r>
            <w:r>
              <w:rPr>
                <w:sz w:val="20"/>
                <w:vertAlign w:val="superscript"/>
              </w:rPr>
              <w:t>36</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100" w:line="259" w:lineRule="auto"/>
              <w:ind w:left="36" w:right="0" w:firstLine="0"/>
              <w:jc w:val="left"/>
            </w:pPr>
            <w:r>
              <w:rPr>
                <w:sz w:val="20"/>
              </w:rPr>
              <w:t xml:space="preserve">Austrália/Benin/Brasil/Guiné/ </w:t>
            </w:r>
          </w:p>
          <w:p w:rsidR="00E0069E" w:rsidRDefault="00C37FF7">
            <w:pPr>
              <w:spacing w:after="0" w:line="259" w:lineRule="auto"/>
              <w:ind w:left="0" w:right="54" w:firstLine="0"/>
              <w:jc w:val="center"/>
            </w:pPr>
            <w:r>
              <w:rPr>
                <w:sz w:val="20"/>
              </w:rPr>
              <w:t xml:space="preserve">Canadá/Gana/Indonésia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sz w:val="20"/>
              </w:rPr>
              <w:t xml:space="preserve">829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8" w:firstLine="0"/>
              <w:jc w:val="center"/>
            </w:pPr>
            <w:r>
              <w:rPr>
                <w:color w:val="202124"/>
                <w:sz w:val="20"/>
              </w:rPr>
              <w:t xml:space="preserve">0 - 17 </w:t>
            </w:r>
          </w:p>
        </w:tc>
        <w:tc>
          <w:tcPr>
            <w:tcW w:w="2129"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center"/>
            </w:pPr>
            <w:r>
              <w:rPr>
                <w:sz w:val="20"/>
              </w:rPr>
              <w:t xml:space="preserve">Estudo coorte retrospectivo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2" w:firstLine="0"/>
              <w:jc w:val="center"/>
            </w:pPr>
            <w:r>
              <w:rPr>
                <w:sz w:val="20"/>
              </w:rPr>
              <w:t xml:space="preserve">9H, 4R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61" w:firstLine="0"/>
              <w:jc w:val="center"/>
            </w:pPr>
            <w:r>
              <w:rPr>
                <w:sz w:val="20"/>
              </w:rPr>
              <w:t xml:space="preserve">Crianças  </w:t>
            </w:r>
          </w:p>
        </w:tc>
      </w:tr>
      <w:tr w:rsidR="00E0069E">
        <w:trPr>
          <w:trHeight w:val="585"/>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2019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60" w:right="0" w:firstLine="0"/>
              <w:jc w:val="left"/>
            </w:pPr>
            <w:proofErr w:type="spellStart"/>
            <w:r>
              <w:rPr>
                <w:sz w:val="20"/>
              </w:rPr>
              <w:t>Nwana</w:t>
            </w:r>
            <w:proofErr w:type="spellEnd"/>
            <w:r>
              <w:rPr>
                <w:sz w:val="20"/>
              </w:rPr>
              <w:t xml:space="preserve"> </w:t>
            </w:r>
            <w:r>
              <w:rPr>
                <w:i/>
                <w:sz w:val="20"/>
              </w:rPr>
              <w:t>et al</w:t>
            </w:r>
            <w:r>
              <w:rPr>
                <w:sz w:val="20"/>
              </w:rPr>
              <w:t>.</w:t>
            </w:r>
            <w:r>
              <w:rPr>
                <w:sz w:val="20"/>
                <w:vertAlign w:val="superscript"/>
              </w:rPr>
              <w:t>27</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4" w:firstLine="0"/>
              <w:jc w:val="center"/>
            </w:pPr>
            <w:r>
              <w:rPr>
                <w:sz w:val="20"/>
              </w:rPr>
              <w:t xml:space="preserve">EUA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sz w:val="20"/>
              </w:rPr>
              <w:t xml:space="preserve">393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4" w:firstLine="0"/>
              <w:jc w:val="center"/>
            </w:pPr>
            <w:r>
              <w:rPr>
                <w:color w:val="202124"/>
                <w:sz w:val="20"/>
              </w:rPr>
              <w:t xml:space="preserve">13 – 74 </w:t>
            </w:r>
          </w:p>
        </w:tc>
        <w:tc>
          <w:tcPr>
            <w:tcW w:w="2129"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Estudo coorte retrospectivo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sz w:val="20"/>
              </w:rPr>
              <w:t xml:space="preserve">3HP </w:t>
            </w:r>
          </w:p>
        </w:tc>
        <w:tc>
          <w:tcPr>
            <w:tcW w:w="269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172" w:right="125" w:firstLine="0"/>
              <w:jc w:val="center"/>
            </w:pPr>
            <w:r>
              <w:rPr>
                <w:sz w:val="20"/>
              </w:rPr>
              <w:t xml:space="preserve">Pessoas em </w:t>
            </w:r>
            <w:proofErr w:type="gramStart"/>
            <w:r>
              <w:rPr>
                <w:sz w:val="20"/>
              </w:rPr>
              <w:t>situação  de</w:t>
            </w:r>
            <w:proofErr w:type="gramEnd"/>
            <w:r>
              <w:rPr>
                <w:sz w:val="20"/>
              </w:rPr>
              <w:t xml:space="preserve"> rua  </w:t>
            </w:r>
          </w:p>
        </w:tc>
      </w:tr>
      <w:tr w:rsidR="00E0069E">
        <w:trPr>
          <w:trHeight w:val="580"/>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2019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0" w:firstLine="0"/>
              <w:jc w:val="center"/>
            </w:pPr>
            <w:r>
              <w:rPr>
                <w:sz w:val="20"/>
              </w:rPr>
              <w:t xml:space="preserve">Park </w:t>
            </w:r>
            <w:r>
              <w:rPr>
                <w:i/>
                <w:sz w:val="20"/>
              </w:rPr>
              <w:t>et al</w:t>
            </w:r>
            <w:r>
              <w:rPr>
                <w:sz w:val="20"/>
              </w:rPr>
              <w:t>.</w:t>
            </w:r>
            <w:r>
              <w:rPr>
                <w:sz w:val="20"/>
                <w:vertAlign w:val="superscript"/>
              </w:rPr>
              <w:t>32</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9" w:firstLine="0"/>
              <w:jc w:val="center"/>
            </w:pPr>
            <w:r>
              <w:rPr>
                <w:sz w:val="20"/>
              </w:rPr>
              <w:t xml:space="preserve">Coreia do Sul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sz w:val="20"/>
              </w:rPr>
              <w:t xml:space="preserve">187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8" w:firstLine="0"/>
              <w:jc w:val="center"/>
            </w:pPr>
            <w:r>
              <w:rPr>
                <w:color w:val="202124"/>
                <w:sz w:val="20"/>
              </w:rPr>
              <w:t xml:space="preserve">20 - 79 </w:t>
            </w:r>
          </w:p>
        </w:tc>
        <w:tc>
          <w:tcPr>
            <w:tcW w:w="2129"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Estudo coorte retrospectivo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32" w:right="0" w:firstLine="0"/>
              <w:jc w:val="left"/>
            </w:pPr>
            <w:r>
              <w:rPr>
                <w:sz w:val="20"/>
              </w:rPr>
              <w:t xml:space="preserve">9H, 3HR, 4R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sz w:val="20"/>
              </w:rPr>
              <w:t xml:space="preserve">Profissionais da saúde </w:t>
            </w:r>
          </w:p>
        </w:tc>
      </w:tr>
      <w:tr w:rsidR="00E0069E">
        <w:trPr>
          <w:trHeight w:val="588"/>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2020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6" w:firstLine="0"/>
              <w:jc w:val="center"/>
            </w:pPr>
            <w:proofErr w:type="spellStart"/>
            <w:r>
              <w:rPr>
                <w:sz w:val="20"/>
              </w:rPr>
              <w:t>Chung</w:t>
            </w:r>
            <w:proofErr w:type="spellEnd"/>
            <w:r>
              <w:rPr>
                <w:sz w:val="20"/>
              </w:rPr>
              <w:t xml:space="preserve"> </w:t>
            </w:r>
            <w:r>
              <w:rPr>
                <w:i/>
                <w:sz w:val="20"/>
              </w:rPr>
              <w:t>et al</w:t>
            </w:r>
            <w:r>
              <w:rPr>
                <w:sz w:val="20"/>
              </w:rPr>
              <w:t>.</w:t>
            </w:r>
            <w:r>
              <w:rPr>
                <w:sz w:val="20"/>
                <w:vertAlign w:val="superscript"/>
              </w:rPr>
              <w:t>33</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9" w:firstLine="0"/>
              <w:jc w:val="center"/>
            </w:pPr>
            <w:r>
              <w:rPr>
                <w:sz w:val="20"/>
              </w:rPr>
              <w:t xml:space="preserve">Coreia do Sul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sz w:val="20"/>
              </w:rPr>
              <w:t xml:space="preserve">114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4" w:firstLine="0"/>
              <w:jc w:val="center"/>
            </w:pPr>
            <w:r>
              <w:rPr>
                <w:color w:val="202124"/>
                <w:sz w:val="20"/>
              </w:rPr>
              <w:t xml:space="preserve">32 – 52 </w:t>
            </w:r>
          </w:p>
        </w:tc>
        <w:tc>
          <w:tcPr>
            <w:tcW w:w="2129"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Estudo coorte prospectivo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2" w:firstLine="0"/>
              <w:jc w:val="center"/>
            </w:pPr>
            <w:r>
              <w:rPr>
                <w:sz w:val="20"/>
              </w:rPr>
              <w:t xml:space="preserve">9H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sz w:val="20"/>
              </w:rPr>
              <w:t xml:space="preserve">Profissionais da saúde </w:t>
            </w:r>
          </w:p>
        </w:tc>
      </w:tr>
    </w:tbl>
    <w:p w:rsidR="00E0069E" w:rsidRDefault="00C37FF7">
      <w:pPr>
        <w:spacing w:after="0" w:line="259" w:lineRule="auto"/>
        <w:ind w:left="0" w:right="0" w:firstLine="0"/>
        <w:jc w:val="left"/>
      </w:pPr>
      <w:r>
        <w:t xml:space="preserve"> </w:t>
      </w:r>
    </w:p>
    <w:p w:rsidR="00E0069E" w:rsidRDefault="00C37FF7">
      <w:pPr>
        <w:spacing w:after="0" w:line="259" w:lineRule="auto"/>
        <w:ind w:left="0" w:right="0" w:firstLine="0"/>
        <w:jc w:val="left"/>
      </w:pPr>
      <w:r>
        <w:rPr>
          <w:rFonts w:ascii="Calibri" w:eastAsia="Calibri" w:hAnsi="Calibri" w:cs="Calibri"/>
          <w:sz w:val="22"/>
        </w:rPr>
        <w:t xml:space="preserve"> </w:t>
      </w:r>
    </w:p>
    <w:p w:rsidR="00E0069E" w:rsidRDefault="00C37FF7">
      <w:pPr>
        <w:spacing w:after="142" w:line="259" w:lineRule="auto"/>
        <w:ind w:left="807" w:right="803"/>
        <w:jc w:val="center"/>
      </w:pPr>
      <w:r>
        <w:rPr>
          <w:b/>
          <w:sz w:val="20"/>
        </w:rPr>
        <w:t xml:space="preserve">QUADRO 1 </w:t>
      </w:r>
      <w:proofErr w:type="gramStart"/>
      <w:r>
        <w:rPr>
          <w:b/>
          <w:sz w:val="20"/>
        </w:rPr>
        <w:t>–</w:t>
      </w:r>
      <w:r>
        <w:rPr>
          <w:b/>
          <w:sz w:val="20"/>
          <w:vertAlign w:val="subscript"/>
        </w:rPr>
        <w:t xml:space="preserve"> </w:t>
      </w:r>
      <w:r>
        <w:rPr>
          <w:sz w:val="20"/>
        </w:rPr>
        <w:t xml:space="preserve"> </w:t>
      </w:r>
      <w:r>
        <w:rPr>
          <w:sz w:val="20"/>
        </w:rPr>
        <w:t>Descrição</w:t>
      </w:r>
      <w:proofErr w:type="gramEnd"/>
      <w:r>
        <w:rPr>
          <w:sz w:val="20"/>
        </w:rPr>
        <w:t xml:space="preserve"> das características do estudo. </w:t>
      </w:r>
    </w:p>
    <w:p w:rsidR="00E0069E" w:rsidRDefault="00C37FF7">
      <w:pPr>
        <w:spacing w:after="0" w:line="259" w:lineRule="auto"/>
        <w:ind w:left="10" w:right="-15"/>
        <w:jc w:val="right"/>
      </w:pPr>
      <w:r>
        <w:rPr>
          <w:sz w:val="20"/>
        </w:rPr>
        <w:t xml:space="preserve">(Conclusão) </w:t>
      </w:r>
    </w:p>
    <w:tbl>
      <w:tblPr>
        <w:tblStyle w:val="TableGrid"/>
        <w:tblW w:w="14035" w:type="dxa"/>
        <w:tblInd w:w="4" w:type="dxa"/>
        <w:tblCellMar>
          <w:top w:w="11" w:type="dxa"/>
          <w:left w:w="108" w:type="dxa"/>
          <w:bottom w:w="0" w:type="dxa"/>
          <w:right w:w="56" w:type="dxa"/>
        </w:tblCellMar>
        <w:tblLook w:val="04A0" w:firstRow="1" w:lastRow="0" w:firstColumn="1" w:lastColumn="0" w:noHBand="0" w:noVBand="1"/>
      </w:tblPr>
      <w:tblGrid>
        <w:gridCol w:w="663"/>
        <w:gridCol w:w="1601"/>
        <w:gridCol w:w="2837"/>
        <w:gridCol w:w="1276"/>
        <w:gridCol w:w="1416"/>
        <w:gridCol w:w="2129"/>
        <w:gridCol w:w="1416"/>
        <w:gridCol w:w="2697"/>
      </w:tblGrid>
      <w:tr w:rsidR="00E0069E">
        <w:trPr>
          <w:trHeight w:val="468"/>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28" w:right="0" w:firstLine="0"/>
              <w:jc w:val="left"/>
            </w:pPr>
            <w:r>
              <w:rPr>
                <w:b/>
                <w:sz w:val="20"/>
              </w:rPr>
              <w:t>Ano</w:t>
            </w:r>
            <w:r>
              <w:rPr>
                <w:sz w:val="20"/>
              </w:rPr>
              <w:t xml:space="preserve"> </w:t>
            </w:r>
          </w:p>
        </w:tc>
        <w:tc>
          <w:tcPr>
            <w:tcW w:w="160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9" w:right="5" w:firstLine="0"/>
              <w:jc w:val="center"/>
            </w:pPr>
            <w:r>
              <w:rPr>
                <w:b/>
                <w:sz w:val="20"/>
              </w:rPr>
              <w:t>Primeiro autor, ano.</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4" w:firstLine="0"/>
              <w:jc w:val="center"/>
            </w:pPr>
            <w:r>
              <w:rPr>
                <w:b/>
                <w:sz w:val="20"/>
              </w:rPr>
              <w:t>País</w:t>
            </w:r>
            <w:r>
              <w:rPr>
                <w:sz w:val="20"/>
              </w:rPr>
              <w:t xml:space="preserve"> </w:t>
            </w:r>
          </w:p>
        </w:tc>
        <w:tc>
          <w:tcPr>
            <w:tcW w:w="127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3" w:firstLine="0"/>
              <w:jc w:val="center"/>
            </w:pPr>
            <w:r>
              <w:rPr>
                <w:b/>
                <w:sz w:val="20"/>
              </w:rPr>
              <w:t xml:space="preserve">Amostra </w:t>
            </w:r>
          </w:p>
          <w:p w:rsidR="00E0069E" w:rsidRDefault="00C37FF7">
            <w:pPr>
              <w:spacing w:after="0" w:line="259" w:lineRule="auto"/>
              <w:ind w:left="0" w:right="54" w:firstLine="0"/>
              <w:jc w:val="center"/>
            </w:pPr>
            <w:r>
              <w:rPr>
                <w:b/>
                <w:sz w:val="20"/>
              </w:rPr>
              <w:t>(n)</w:t>
            </w:r>
            <w:r>
              <w:rPr>
                <w:sz w:val="20"/>
              </w:rPr>
              <w:t xml:space="preserve">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12" w:right="0" w:firstLine="0"/>
              <w:jc w:val="left"/>
            </w:pPr>
            <w:r>
              <w:rPr>
                <w:b/>
                <w:sz w:val="20"/>
              </w:rPr>
              <w:t>Idade (anos)</w:t>
            </w:r>
            <w:r>
              <w:rPr>
                <w:sz w:val="20"/>
              </w:rPr>
              <w:t xml:space="preserve"> </w:t>
            </w:r>
          </w:p>
        </w:tc>
        <w:tc>
          <w:tcPr>
            <w:tcW w:w="2129"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3" w:firstLine="0"/>
              <w:jc w:val="center"/>
            </w:pPr>
            <w:r>
              <w:rPr>
                <w:b/>
                <w:sz w:val="20"/>
              </w:rPr>
              <w:t>Tipo do estudo</w:t>
            </w:r>
            <w:r>
              <w:rPr>
                <w:sz w:val="20"/>
              </w:rPr>
              <w:t xml:space="preserve">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56" w:right="0" w:firstLine="0"/>
              <w:jc w:val="left"/>
            </w:pPr>
            <w:r>
              <w:rPr>
                <w:b/>
                <w:sz w:val="20"/>
              </w:rPr>
              <w:t>Tratamento</w:t>
            </w:r>
            <w:r>
              <w:rPr>
                <w:sz w:val="20"/>
              </w:rPr>
              <w:t xml:space="preserve">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b/>
                <w:sz w:val="20"/>
              </w:rPr>
              <w:t xml:space="preserve">População </w:t>
            </w:r>
          </w:p>
        </w:tc>
      </w:tr>
      <w:tr w:rsidR="00E0069E">
        <w:trPr>
          <w:trHeight w:val="520"/>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2020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6" w:firstLine="0"/>
              <w:jc w:val="center"/>
            </w:pPr>
            <w:proofErr w:type="spellStart"/>
            <w:r>
              <w:rPr>
                <w:sz w:val="20"/>
              </w:rPr>
              <w:t>Feng</w:t>
            </w:r>
            <w:proofErr w:type="spellEnd"/>
            <w:r>
              <w:rPr>
                <w:sz w:val="20"/>
              </w:rPr>
              <w:t xml:space="preserve"> </w:t>
            </w:r>
            <w:r>
              <w:rPr>
                <w:i/>
                <w:sz w:val="20"/>
              </w:rPr>
              <w:t>et al</w:t>
            </w:r>
            <w:r>
              <w:rPr>
                <w:sz w:val="20"/>
              </w:rPr>
              <w:t>.</w:t>
            </w:r>
            <w:r>
              <w:rPr>
                <w:sz w:val="20"/>
                <w:vertAlign w:val="superscript"/>
              </w:rPr>
              <w:t>29</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0" w:firstLine="0"/>
              <w:jc w:val="center"/>
            </w:pPr>
            <w:r>
              <w:rPr>
                <w:sz w:val="20"/>
              </w:rPr>
              <w:t xml:space="preserve">Taiwan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sz w:val="20"/>
              </w:rPr>
              <w:t xml:space="preserve">406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8" w:firstLine="0"/>
              <w:jc w:val="center"/>
            </w:pPr>
            <w:r>
              <w:rPr>
                <w:color w:val="202124"/>
                <w:sz w:val="20"/>
              </w:rPr>
              <w:t xml:space="preserve">35 - 59 </w:t>
            </w:r>
          </w:p>
        </w:tc>
        <w:tc>
          <w:tcPr>
            <w:tcW w:w="2129"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Estudo coorte prospectivo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36" w:right="0" w:firstLine="0"/>
              <w:jc w:val="left"/>
            </w:pPr>
            <w:r>
              <w:rPr>
                <w:sz w:val="20"/>
              </w:rPr>
              <w:t xml:space="preserve">9H, 3HP, 4R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9" w:firstLine="0"/>
              <w:jc w:val="center"/>
            </w:pPr>
            <w:r>
              <w:rPr>
                <w:sz w:val="20"/>
              </w:rPr>
              <w:t xml:space="preserve">Pacientes de meia idade </w:t>
            </w:r>
          </w:p>
        </w:tc>
      </w:tr>
      <w:tr w:rsidR="00E0069E">
        <w:trPr>
          <w:trHeight w:val="756"/>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lastRenderedPageBreak/>
              <w:t xml:space="preserve">2020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40" w:right="0" w:firstLine="0"/>
              <w:jc w:val="left"/>
            </w:pPr>
            <w:r>
              <w:rPr>
                <w:sz w:val="20"/>
              </w:rPr>
              <w:t xml:space="preserve">Alvarez </w:t>
            </w:r>
            <w:r>
              <w:rPr>
                <w:i/>
                <w:sz w:val="20"/>
              </w:rPr>
              <w:t>et al</w:t>
            </w:r>
            <w:r>
              <w:rPr>
                <w:sz w:val="20"/>
              </w:rPr>
              <w:t>.</w:t>
            </w:r>
            <w:r>
              <w:rPr>
                <w:sz w:val="20"/>
                <w:vertAlign w:val="superscript"/>
              </w:rPr>
              <w:t>42</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0" w:firstLine="0"/>
              <w:jc w:val="center"/>
            </w:pPr>
            <w:r>
              <w:rPr>
                <w:sz w:val="20"/>
              </w:rPr>
              <w:t xml:space="preserve">Canadá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7" w:firstLine="0"/>
              <w:jc w:val="center"/>
            </w:pPr>
            <w:r>
              <w:rPr>
                <w:sz w:val="20"/>
              </w:rPr>
              <w:t xml:space="preserve">73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4" w:firstLine="0"/>
              <w:jc w:val="center"/>
            </w:pPr>
            <w:r>
              <w:rPr>
                <w:color w:val="202124"/>
                <w:sz w:val="20"/>
              </w:rPr>
              <w:t xml:space="preserve">2 – 65 </w:t>
            </w:r>
          </w:p>
        </w:tc>
        <w:tc>
          <w:tcPr>
            <w:tcW w:w="2129"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1" w:right="0" w:hanging="1"/>
              <w:jc w:val="center"/>
            </w:pPr>
            <w:r>
              <w:rPr>
                <w:sz w:val="20"/>
              </w:rPr>
              <w:t xml:space="preserve">Estudo coorte </w:t>
            </w:r>
            <w:proofErr w:type="gramStart"/>
            <w:r>
              <w:rPr>
                <w:sz w:val="20"/>
              </w:rPr>
              <w:t>prospectivo,  open</w:t>
            </w:r>
            <w:proofErr w:type="gramEnd"/>
            <w:r>
              <w:rPr>
                <w:sz w:val="20"/>
              </w:rPr>
              <w:t>-</w:t>
            </w:r>
            <w:proofErr w:type="spellStart"/>
            <w:r>
              <w:rPr>
                <w:sz w:val="20"/>
              </w:rPr>
              <w:t>label</w:t>
            </w:r>
            <w:proofErr w:type="spellEnd"/>
            <w:r>
              <w:rPr>
                <w:sz w:val="20"/>
              </w:rPr>
              <w:t xml:space="preserve">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sz w:val="20"/>
              </w:rPr>
              <w:t xml:space="preserve">3HP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sz w:val="20"/>
              </w:rPr>
              <w:t xml:space="preserve">População </w:t>
            </w:r>
            <w:proofErr w:type="spellStart"/>
            <w:r>
              <w:rPr>
                <w:sz w:val="20"/>
              </w:rPr>
              <w:t>inuíte</w:t>
            </w:r>
            <w:proofErr w:type="spellEnd"/>
            <w:r>
              <w:rPr>
                <w:sz w:val="20"/>
              </w:rPr>
              <w:t xml:space="preserve"> </w:t>
            </w:r>
          </w:p>
        </w:tc>
      </w:tr>
      <w:tr w:rsidR="00E0069E">
        <w:trPr>
          <w:trHeight w:val="476"/>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2021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0" w:firstLine="0"/>
              <w:jc w:val="center"/>
            </w:pPr>
            <w:proofErr w:type="spellStart"/>
            <w:r>
              <w:rPr>
                <w:sz w:val="20"/>
              </w:rPr>
              <w:t>Lin</w:t>
            </w:r>
            <w:proofErr w:type="spellEnd"/>
            <w:r>
              <w:rPr>
                <w:sz w:val="20"/>
              </w:rPr>
              <w:t xml:space="preserve"> </w:t>
            </w:r>
            <w:r>
              <w:rPr>
                <w:i/>
                <w:sz w:val="20"/>
              </w:rPr>
              <w:t>et al</w:t>
            </w:r>
            <w:r>
              <w:rPr>
                <w:sz w:val="20"/>
              </w:rPr>
              <w:t>.</w:t>
            </w:r>
            <w:r>
              <w:rPr>
                <w:sz w:val="20"/>
                <w:vertAlign w:val="superscript"/>
              </w:rPr>
              <w:t>30</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0" w:firstLine="0"/>
              <w:jc w:val="center"/>
            </w:pPr>
            <w:r>
              <w:rPr>
                <w:sz w:val="20"/>
              </w:rPr>
              <w:t xml:space="preserve">Taiwan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7" w:firstLine="0"/>
              <w:jc w:val="center"/>
            </w:pPr>
            <w:r>
              <w:rPr>
                <w:sz w:val="20"/>
              </w:rPr>
              <w:t xml:space="preserve">91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8" w:firstLine="0"/>
              <w:jc w:val="center"/>
            </w:pPr>
            <w:r>
              <w:rPr>
                <w:color w:val="202124"/>
                <w:sz w:val="20"/>
              </w:rPr>
              <w:t xml:space="preserve">Adultos </w:t>
            </w:r>
          </w:p>
        </w:tc>
        <w:tc>
          <w:tcPr>
            <w:tcW w:w="2129"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Estudo coorte prospectivo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sz w:val="20"/>
              </w:rPr>
              <w:t xml:space="preserve">9H, 3HP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32" w:right="0" w:firstLine="0"/>
              <w:jc w:val="left"/>
            </w:pPr>
            <w:r>
              <w:rPr>
                <w:sz w:val="20"/>
              </w:rPr>
              <w:t xml:space="preserve">Pacientes adultos dialíticos </w:t>
            </w:r>
          </w:p>
        </w:tc>
      </w:tr>
      <w:tr w:rsidR="00E0069E">
        <w:trPr>
          <w:trHeight w:val="572"/>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2022 </w:t>
            </w:r>
          </w:p>
        </w:tc>
        <w:tc>
          <w:tcPr>
            <w:tcW w:w="1601"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6" w:firstLine="0"/>
              <w:jc w:val="center"/>
            </w:pPr>
            <w:r>
              <w:rPr>
                <w:sz w:val="20"/>
              </w:rPr>
              <w:t xml:space="preserve">Lee </w:t>
            </w:r>
            <w:r>
              <w:rPr>
                <w:i/>
                <w:sz w:val="20"/>
              </w:rPr>
              <w:t>et al</w:t>
            </w:r>
            <w:r>
              <w:rPr>
                <w:sz w:val="20"/>
              </w:rPr>
              <w:t>.</w:t>
            </w:r>
            <w:r>
              <w:rPr>
                <w:sz w:val="20"/>
                <w:vertAlign w:val="superscript"/>
              </w:rPr>
              <w:t>31</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0" w:firstLine="0"/>
              <w:jc w:val="center"/>
            </w:pPr>
            <w:r>
              <w:rPr>
                <w:sz w:val="20"/>
              </w:rPr>
              <w:t xml:space="preserve">Taiwan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9" w:firstLine="0"/>
              <w:jc w:val="center"/>
            </w:pPr>
            <w:r>
              <w:rPr>
                <w:sz w:val="20"/>
              </w:rPr>
              <w:t xml:space="preserve">415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8" w:firstLine="0"/>
              <w:jc w:val="center"/>
            </w:pPr>
            <w:r>
              <w:rPr>
                <w:color w:val="202124"/>
                <w:sz w:val="20"/>
              </w:rPr>
              <w:t xml:space="preserve">Adultos </w:t>
            </w:r>
          </w:p>
        </w:tc>
        <w:tc>
          <w:tcPr>
            <w:tcW w:w="2129"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Estudo coorte prospectivo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5" w:firstLine="0"/>
              <w:jc w:val="center"/>
            </w:pPr>
            <w:r>
              <w:rPr>
                <w:sz w:val="20"/>
              </w:rPr>
              <w:t xml:space="preserve">3HP </w:t>
            </w:r>
          </w:p>
        </w:tc>
        <w:tc>
          <w:tcPr>
            <w:tcW w:w="269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Pacientes sem especificidades </w:t>
            </w:r>
          </w:p>
        </w:tc>
      </w:tr>
      <w:tr w:rsidR="00E0069E">
        <w:trPr>
          <w:trHeight w:val="541"/>
        </w:trPr>
        <w:tc>
          <w:tcPr>
            <w:tcW w:w="664"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0" w:firstLine="0"/>
              <w:jc w:val="left"/>
            </w:pPr>
            <w:r>
              <w:rPr>
                <w:sz w:val="20"/>
              </w:rPr>
              <w:t xml:space="preserve">2023 </w:t>
            </w:r>
          </w:p>
        </w:tc>
        <w:tc>
          <w:tcPr>
            <w:tcW w:w="160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129" w:right="72" w:firstLine="0"/>
              <w:jc w:val="center"/>
            </w:pPr>
            <w:proofErr w:type="spellStart"/>
            <w:proofErr w:type="gramStart"/>
            <w:r>
              <w:rPr>
                <w:sz w:val="20"/>
              </w:rPr>
              <w:t>Kiliacaslan</w:t>
            </w:r>
            <w:proofErr w:type="spellEnd"/>
            <w:r>
              <w:rPr>
                <w:sz w:val="20"/>
              </w:rPr>
              <w:t xml:space="preserve">  </w:t>
            </w:r>
            <w:r>
              <w:rPr>
                <w:i/>
                <w:sz w:val="20"/>
              </w:rPr>
              <w:t>et</w:t>
            </w:r>
            <w:proofErr w:type="gramEnd"/>
            <w:r>
              <w:rPr>
                <w:i/>
                <w:sz w:val="20"/>
              </w:rPr>
              <w:t xml:space="preserve"> al</w:t>
            </w:r>
            <w:r>
              <w:rPr>
                <w:sz w:val="20"/>
              </w:rPr>
              <w:t>.</w:t>
            </w:r>
            <w:r>
              <w:rPr>
                <w:sz w:val="20"/>
                <w:vertAlign w:val="superscript"/>
              </w:rPr>
              <w:t>41</w:t>
            </w:r>
            <w:r>
              <w:rPr>
                <w:sz w:val="20"/>
              </w:rPr>
              <w:t xml:space="preserve"> </w:t>
            </w:r>
          </w:p>
        </w:tc>
        <w:tc>
          <w:tcPr>
            <w:tcW w:w="2837"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4" w:firstLine="0"/>
              <w:jc w:val="center"/>
            </w:pPr>
            <w:r>
              <w:rPr>
                <w:sz w:val="20"/>
              </w:rPr>
              <w:t xml:space="preserve">Turquia </w:t>
            </w:r>
          </w:p>
        </w:tc>
        <w:tc>
          <w:tcPr>
            <w:tcW w:w="127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7" w:firstLine="0"/>
              <w:jc w:val="center"/>
            </w:pPr>
            <w:r>
              <w:rPr>
                <w:sz w:val="20"/>
              </w:rPr>
              <w:t xml:space="preserve">46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48" w:firstLine="0"/>
              <w:jc w:val="center"/>
            </w:pPr>
            <w:r>
              <w:rPr>
                <w:color w:val="202124"/>
                <w:sz w:val="20"/>
              </w:rPr>
              <w:t xml:space="preserve">≥ </w:t>
            </w:r>
            <w:r>
              <w:rPr>
                <w:sz w:val="20"/>
              </w:rPr>
              <w:t>18</w:t>
            </w:r>
            <w:r>
              <w:rPr>
                <w:color w:val="202124"/>
                <w:sz w:val="20"/>
              </w:rPr>
              <w:t xml:space="preserve"> </w:t>
            </w:r>
          </w:p>
        </w:tc>
        <w:tc>
          <w:tcPr>
            <w:tcW w:w="2129"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sz w:val="20"/>
              </w:rPr>
              <w:t xml:space="preserve">Estudo coorte retrospectivo </w:t>
            </w:r>
          </w:p>
        </w:tc>
        <w:tc>
          <w:tcPr>
            <w:tcW w:w="1416"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2" w:firstLine="0"/>
              <w:jc w:val="center"/>
            </w:pPr>
            <w:r>
              <w:rPr>
                <w:sz w:val="20"/>
              </w:rPr>
              <w:t xml:space="preserve">9H </w:t>
            </w:r>
          </w:p>
        </w:tc>
        <w:tc>
          <w:tcPr>
            <w:tcW w:w="2697" w:type="dxa"/>
            <w:tcBorders>
              <w:top w:val="single" w:sz="3" w:space="0" w:color="BFBFBF"/>
              <w:left w:val="single" w:sz="3" w:space="0" w:color="BFBFBF"/>
              <w:bottom w:val="single" w:sz="3" w:space="0" w:color="BFBFBF"/>
              <w:right w:val="single" w:sz="3" w:space="0" w:color="BFBFBF"/>
            </w:tcBorders>
            <w:vAlign w:val="center"/>
          </w:tcPr>
          <w:p w:rsidR="00E0069E" w:rsidRDefault="00C37FF7">
            <w:pPr>
              <w:spacing w:after="0" w:line="259" w:lineRule="auto"/>
              <w:ind w:left="0" w:right="57" w:firstLine="0"/>
              <w:jc w:val="center"/>
            </w:pPr>
            <w:r>
              <w:rPr>
                <w:sz w:val="20"/>
              </w:rPr>
              <w:t xml:space="preserve">Pacientes oncológicos </w:t>
            </w:r>
          </w:p>
        </w:tc>
      </w:tr>
    </w:tbl>
    <w:p w:rsidR="00E0069E" w:rsidRDefault="00C37FF7">
      <w:pPr>
        <w:spacing w:after="115" w:line="259" w:lineRule="auto"/>
        <w:ind w:left="718" w:right="0"/>
        <w:jc w:val="left"/>
      </w:pPr>
      <w:r>
        <w:rPr>
          <w:sz w:val="20"/>
        </w:rPr>
        <w:t xml:space="preserve">H = Isoniazida, P = </w:t>
      </w:r>
      <w:proofErr w:type="spellStart"/>
      <w:r>
        <w:rPr>
          <w:sz w:val="20"/>
        </w:rPr>
        <w:t>Rifapentina</w:t>
      </w:r>
      <w:proofErr w:type="spellEnd"/>
      <w:r>
        <w:rPr>
          <w:sz w:val="20"/>
        </w:rPr>
        <w:t xml:space="preserve">, R = Rifampicina </w:t>
      </w:r>
      <w:r>
        <w:t xml:space="preserve"> </w:t>
      </w:r>
    </w:p>
    <w:p w:rsidR="00E0069E" w:rsidRDefault="00E0069E">
      <w:pPr>
        <w:sectPr w:rsidR="00E0069E">
          <w:pgSz w:w="16836" w:h="11908" w:orient="landscape"/>
          <w:pgMar w:top="1559" w:right="1127" w:bottom="1366" w:left="1701" w:header="720" w:footer="720" w:gutter="0"/>
          <w:cols w:space="720"/>
        </w:sectPr>
      </w:pPr>
    </w:p>
    <w:p w:rsidR="00E0069E" w:rsidRDefault="00C37FF7">
      <w:pPr>
        <w:spacing w:after="0" w:line="259" w:lineRule="auto"/>
        <w:ind w:left="0" w:right="0" w:firstLine="0"/>
        <w:jc w:val="left"/>
      </w:pPr>
      <w:r>
        <w:rPr>
          <w:rFonts w:ascii="Calibri" w:eastAsia="Calibri" w:hAnsi="Calibri" w:cs="Calibri"/>
          <w:sz w:val="22"/>
        </w:rPr>
        <w:lastRenderedPageBreak/>
        <w:t xml:space="preserve"> </w:t>
      </w:r>
    </w:p>
    <w:p w:rsidR="00E0069E" w:rsidRDefault="00C37FF7">
      <w:pPr>
        <w:pStyle w:val="Ttulo2"/>
        <w:ind w:left="874" w:right="0"/>
      </w:pPr>
      <w:bookmarkStart w:id="20" w:name="_Toc54289"/>
      <w:proofErr w:type="gramStart"/>
      <w:r>
        <w:t>8.3  Análise</w:t>
      </w:r>
      <w:proofErr w:type="gramEnd"/>
      <w:r>
        <w:t xml:space="preserve"> do risco de viés dos Ensaios Clínicos  </w:t>
      </w:r>
      <w:bookmarkEnd w:id="20"/>
    </w:p>
    <w:p w:rsidR="00E0069E" w:rsidRDefault="00C37FF7">
      <w:pPr>
        <w:spacing w:after="5"/>
        <w:ind w:left="10" w:right="0"/>
      </w:pPr>
      <w:r>
        <w:t>Os cinco estudos de intervenção incluídos na revisão não foram homogêneos do ponto de vista populacional, nem em relação à frequência de eventos adversos. Dois estudos</w:t>
      </w:r>
      <w:r>
        <w:rPr>
          <w:vertAlign w:val="superscript"/>
        </w:rPr>
        <w:t>24,38</w:t>
      </w:r>
      <w:r>
        <w:t xml:space="preserve"> foram classif</w:t>
      </w:r>
      <w:r>
        <w:t>icados como de “baixa qualidade metodológica”, por não apresentarem detalhes do processo de randomização, na metodologia. Os três estudos restantes</w:t>
      </w:r>
      <w:r>
        <w:rPr>
          <w:vertAlign w:val="superscript"/>
        </w:rPr>
        <w:t xml:space="preserve">35,39,43 </w:t>
      </w:r>
      <w:r>
        <w:t xml:space="preserve">detalharam de forma apropriada como ocorreu à randomização. Nenhum ensaio clínico era duplo-cego. O </w:t>
      </w:r>
      <w:r>
        <w:t xml:space="preserve">Quadro 2 detalha os critérios da escala </w:t>
      </w:r>
      <w:proofErr w:type="spellStart"/>
      <w:r>
        <w:t>Jadad</w:t>
      </w:r>
      <w:proofErr w:type="spellEnd"/>
      <w:r>
        <w:t xml:space="preserve"> utilizados para avaliar e pontuar os artigos, de acordo com a qualidade metodológica. (QUADRO 2) </w:t>
      </w:r>
    </w:p>
    <w:p w:rsidR="00E0069E" w:rsidRDefault="00C37FF7">
      <w:pPr>
        <w:spacing w:after="0" w:line="259" w:lineRule="auto"/>
        <w:ind w:left="0" w:right="0" w:firstLine="0"/>
        <w:jc w:val="left"/>
      </w:pPr>
      <w:r>
        <w:t xml:space="preserve"> </w:t>
      </w:r>
      <w:r>
        <w:tab/>
        <w:t xml:space="preserve"> </w:t>
      </w:r>
    </w:p>
    <w:p w:rsidR="00E0069E" w:rsidRDefault="00E0069E">
      <w:pPr>
        <w:sectPr w:rsidR="00E0069E">
          <w:pgSz w:w="11908" w:h="16836"/>
          <w:pgMar w:top="1440" w:right="1704" w:bottom="1440" w:left="1133" w:header="720" w:footer="720" w:gutter="0"/>
          <w:cols w:space="720"/>
        </w:sectPr>
      </w:pPr>
    </w:p>
    <w:p w:rsidR="00E0069E" w:rsidRDefault="00C37FF7">
      <w:pPr>
        <w:spacing w:after="0" w:line="259" w:lineRule="auto"/>
        <w:ind w:left="0" w:right="0" w:firstLine="0"/>
        <w:jc w:val="left"/>
      </w:pPr>
      <w:r>
        <w:rPr>
          <w:rFonts w:ascii="Calibri" w:eastAsia="Calibri" w:hAnsi="Calibri" w:cs="Calibri"/>
          <w:sz w:val="22"/>
        </w:rPr>
        <w:lastRenderedPageBreak/>
        <w:t xml:space="preserve"> </w:t>
      </w:r>
    </w:p>
    <w:p w:rsidR="00E0069E" w:rsidRDefault="00C37FF7">
      <w:pPr>
        <w:spacing w:after="0" w:line="259" w:lineRule="auto"/>
        <w:ind w:left="10" w:right="2422"/>
        <w:jc w:val="right"/>
      </w:pPr>
      <w:r>
        <w:rPr>
          <w:b/>
          <w:sz w:val="20"/>
        </w:rPr>
        <w:t>Quadro 2 –</w:t>
      </w:r>
      <w:r>
        <w:rPr>
          <w:sz w:val="18"/>
          <w:vertAlign w:val="subscript"/>
        </w:rPr>
        <w:t xml:space="preserve"> </w:t>
      </w:r>
      <w:r>
        <w:rPr>
          <w:sz w:val="20"/>
        </w:rPr>
        <w:t xml:space="preserve">Classificação do risco de viés </w:t>
      </w:r>
      <w:r>
        <w:rPr>
          <w:sz w:val="20"/>
        </w:rPr>
        <w:t xml:space="preserve">dos ensaios clínicos, de acordo com a escala JADAD.  </w:t>
      </w:r>
    </w:p>
    <w:tbl>
      <w:tblPr>
        <w:tblStyle w:val="TableGrid"/>
        <w:tblW w:w="12479" w:type="dxa"/>
        <w:tblInd w:w="764" w:type="dxa"/>
        <w:tblCellMar>
          <w:top w:w="11" w:type="dxa"/>
          <w:left w:w="108" w:type="dxa"/>
          <w:bottom w:w="0" w:type="dxa"/>
          <w:right w:w="68" w:type="dxa"/>
        </w:tblCellMar>
        <w:tblLook w:val="04A0" w:firstRow="1" w:lastRow="0" w:firstColumn="1" w:lastColumn="0" w:noHBand="0" w:noVBand="1"/>
      </w:tblPr>
      <w:tblGrid>
        <w:gridCol w:w="1844"/>
        <w:gridCol w:w="1560"/>
        <w:gridCol w:w="1696"/>
        <w:gridCol w:w="2841"/>
        <w:gridCol w:w="1416"/>
        <w:gridCol w:w="1421"/>
        <w:gridCol w:w="1701"/>
      </w:tblGrid>
      <w:tr w:rsidR="00E0069E">
        <w:trPr>
          <w:trHeight w:val="701"/>
        </w:trPr>
        <w:tc>
          <w:tcPr>
            <w:tcW w:w="1845"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left"/>
            </w:pPr>
            <w:r>
              <w:rPr>
                <w:b/>
                <w:sz w:val="20"/>
              </w:rPr>
              <w:t xml:space="preserve">Autor, ano. </w:t>
            </w:r>
          </w:p>
        </w:tc>
        <w:tc>
          <w:tcPr>
            <w:tcW w:w="1560" w:type="dxa"/>
            <w:tcBorders>
              <w:top w:val="single" w:sz="3" w:space="0" w:color="BFBFBF"/>
              <w:left w:val="single" w:sz="3" w:space="0" w:color="BFBFBF"/>
              <w:bottom w:val="single" w:sz="3" w:space="0" w:color="BFBFBF"/>
              <w:right w:val="single" w:sz="3" w:space="0" w:color="BFBFBF"/>
            </w:tcBorders>
          </w:tcPr>
          <w:p w:rsidR="00E0069E" w:rsidRDefault="00C37FF7">
            <w:pPr>
              <w:spacing w:after="96" w:line="259" w:lineRule="auto"/>
              <w:ind w:left="0" w:right="42" w:firstLine="0"/>
              <w:jc w:val="center"/>
            </w:pPr>
            <w:r>
              <w:rPr>
                <w:b/>
                <w:sz w:val="20"/>
              </w:rPr>
              <w:t xml:space="preserve">(1) </w:t>
            </w:r>
          </w:p>
          <w:p w:rsidR="00E0069E" w:rsidRDefault="00C37FF7">
            <w:pPr>
              <w:spacing w:after="0" w:line="259" w:lineRule="auto"/>
              <w:ind w:left="16" w:right="0" w:firstLine="0"/>
              <w:jc w:val="left"/>
            </w:pPr>
            <w:r>
              <w:rPr>
                <w:b/>
                <w:sz w:val="20"/>
              </w:rPr>
              <w:t xml:space="preserve">Randomizado </w:t>
            </w:r>
          </w:p>
        </w:tc>
        <w:tc>
          <w:tcPr>
            <w:tcW w:w="169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40" w:right="0" w:firstLine="0"/>
              <w:jc w:val="left"/>
            </w:pPr>
            <w:r>
              <w:rPr>
                <w:b/>
                <w:sz w:val="20"/>
              </w:rPr>
              <w:t>(2) Duplo-cego</w:t>
            </w:r>
            <w:r>
              <w:rPr>
                <w:b/>
              </w:rPr>
              <w:t xml:space="preserve"> </w:t>
            </w:r>
          </w:p>
        </w:tc>
        <w:tc>
          <w:tcPr>
            <w:tcW w:w="284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center"/>
            </w:pPr>
            <w:r>
              <w:rPr>
                <w:b/>
                <w:sz w:val="20"/>
              </w:rPr>
              <w:t>(3) Relato de todos os pacientes</w:t>
            </w:r>
            <w:r>
              <w:rPr>
                <w:b/>
              </w:rPr>
              <w:t xml:space="preserve"> </w:t>
            </w:r>
          </w:p>
        </w:tc>
        <w:tc>
          <w:tcPr>
            <w:tcW w:w="141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28" w:right="0" w:firstLine="0"/>
              <w:jc w:val="left"/>
            </w:pPr>
            <w:r>
              <w:rPr>
                <w:b/>
                <w:sz w:val="20"/>
              </w:rPr>
              <w:t>Escore total</w:t>
            </w:r>
            <w:r>
              <w:rPr>
                <w:b/>
              </w:rPr>
              <w:t xml:space="preserve"> </w:t>
            </w:r>
          </w:p>
        </w:tc>
        <w:tc>
          <w:tcPr>
            <w:tcW w:w="142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50" w:firstLine="0"/>
              <w:jc w:val="center"/>
            </w:pPr>
            <w:r>
              <w:rPr>
                <w:b/>
                <w:sz w:val="20"/>
              </w:rPr>
              <w:t xml:space="preserve">Categoria </w:t>
            </w:r>
          </w:p>
        </w:tc>
        <w:tc>
          <w:tcPr>
            <w:tcW w:w="170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4" w:firstLine="0"/>
              <w:jc w:val="center"/>
            </w:pPr>
            <w:r>
              <w:rPr>
                <w:b/>
                <w:sz w:val="20"/>
              </w:rPr>
              <w:t xml:space="preserve">Classificação </w:t>
            </w:r>
          </w:p>
        </w:tc>
      </w:tr>
      <w:tr w:rsidR="00E0069E">
        <w:trPr>
          <w:trHeight w:val="356"/>
        </w:trPr>
        <w:tc>
          <w:tcPr>
            <w:tcW w:w="1845"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left"/>
            </w:pPr>
            <w:proofErr w:type="spellStart"/>
            <w:r>
              <w:rPr>
                <w:sz w:val="20"/>
              </w:rPr>
              <w:t>Valls</w:t>
            </w:r>
            <w:proofErr w:type="spellEnd"/>
            <w:r>
              <w:rPr>
                <w:sz w:val="20"/>
              </w:rPr>
              <w:t xml:space="preserve"> </w:t>
            </w:r>
            <w:r>
              <w:rPr>
                <w:i/>
                <w:sz w:val="20"/>
              </w:rPr>
              <w:t>et al</w:t>
            </w:r>
            <w:r>
              <w:rPr>
                <w:sz w:val="20"/>
              </w:rPr>
              <w:t xml:space="preserve">, 2015. </w:t>
            </w:r>
          </w:p>
        </w:tc>
        <w:tc>
          <w:tcPr>
            <w:tcW w:w="1560"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0 </w:t>
            </w:r>
          </w:p>
        </w:tc>
        <w:tc>
          <w:tcPr>
            <w:tcW w:w="169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0" w:firstLine="0"/>
              <w:jc w:val="center"/>
            </w:pPr>
            <w:r>
              <w:rPr>
                <w:sz w:val="20"/>
              </w:rPr>
              <w:t xml:space="preserve">0 </w:t>
            </w:r>
          </w:p>
        </w:tc>
        <w:tc>
          <w:tcPr>
            <w:tcW w:w="284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1 </w:t>
            </w:r>
          </w:p>
        </w:tc>
        <w:tc>
          <w:tcPr>
            <w:tcW w:w="141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1 </w:t>
            </w:r>
          </w:p>
        </w:tc>
        <w:tc>
          <w:tcPr>
            <w:tcW w:w="142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8" w:firstLine="0"/>
              <w:jc w:val="center"/>
            </w:pPr>
            <w:r>
              <w:rPr>
                <w:sz w:val="20"/>
              </w:rPr>
              <w:t xml:space="preserve">Q1 </w:t>
            </w:r>
          </w:p>
        </w:tc>
        <w:tc>
          <w:tcPr>
            <w:tcW w:w="170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Baixa </w:t>
            </w:r>
          </w:p>
        </w:tc>
      </w:tr>
      <w:tr w:rsidR="00E0069E">
        <w:trPr>
          <w:trHeight w:val="700"/>
        </w:trPr>
        <w:tc>
          <w:tcPr>
            <w:tcW w:w="1845"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left"/>
            </w:pPr>
            <w:r>
              <w:rPr>
                <w:sz w:val="20"/>
              </w:rPr>
              <w:t xml:space="preserve">Sterling </w:t>
            </w:r>
            <w:r>
              <w:rPr>
                <w:i/>
                <w:sz w:val="20"/>
              </w:rPr>
              <w:t>et al</w:t>
            </w:r>
            <w:r>
              <w:rPr>
                <w:sz w:val="20"/>
              </w:rPr>
              <w:t xml:space="preserve">, 2015. </w:t>
            </w:r>
          </w:p>
        </w:tc>
        <w:tc>
          <w:tcPr>
            <w:tcW w:w="1560"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1 </w:t>
            </w:r>
          </w:p>
        </w:tc>
        <w:tc>
          <w:tcPr>
            <w:tcW w:w="169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0" w:firstLine="0"/>
              <w:jc w:val="center"/>
            </w:pPr>
            <w:r>
              <w:rPr>
                <w:sz w:val="20"/>
              </w:rPr>
              <w:t xml:space="preserve">0 </w:t>
            </w:r>
          </w:p>
        </w:tc>
        <w:tc>
          <w:tcPr>
            <w:tcW w:w="284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1 </w:t>
            </w:r>
          </w:p>
        </w:tc>
        <w:tc>
          <w:tcPr>
            <w:tcW w:w="141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2 </w:t>
            </w:r>
          </w:p>
        </w:tc>
        <w:tc>
          <w:tcPr>
            <w:tcW w:w="142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8" w:firstLine="0"/>
              <w:jc w:val="center"/>
            </w:pPr>
            <w:r>
              <w:rPr>
                <w:sz w:val="20"/>
              </w:rPr>
              <w:t xml:space="preserve">Q1 </w:t>
            </w:r>
          </w:p>
        </w:tc>
        <w:tc>
          <w:tcPr>
            <w:tcW w:w="170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Baixa </w:t>
            </w:r>
          </w:p>
        </w:tc>
      </w:tr>
      <w:tr w:rsidR="00E0069E">
        <w:trPr>
          <w:trHeight w:val="700"/>
        </w:trPr>
        <w:tc>
          <w:tcPr>
            <w:tcW w:w="1845"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left"/>
            </w:pPr>
            <w:proofErr w:type="spellStart"/>
            <w:r>
              <w:rPr>
                <w:sz w:val="20"/>
              </w:rPr>
              <w:t>Belknap</w:t>
            </w:r>
            <w:proofErr w:type="spellEnd"/>
            <w:r>
              <w:rPr>
                <w:sz w:val="20"/>
              </w:rPr>
              <w:t xml:space="preserve"> </w:t>
            </w:r>
            <w:r>
              <w:rPr>
                <w:i/>
                <w:sz w:val="20"/>
              </w:rPr>
              <w:t>et al</w:t>
            </w:r>
            <w:r>
              <w:rPr>
                <w:sz w:val="20"/>
              </w:rPr>
              <w:t xml:space="preserve">, 2017. </w:t>
            </w:r>
          </w:p>
        </w:tc>
        <w:tc>
          <w:tcPr>
            <w:tcW w:w="1560"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39" w:firstLine="0"/>
              <w:jc w:val="center"/>
            </w:pPr>
            <w:r>
              <w:rPr>
                <w:sz w:val="20"/>
              </w:rPr>
              <w:t xml:space="preserve">1 + 1* </w:t>
            </w:r>
          </w:p>
        </w:tc>
        <w:tc>
          <w:tcPr>
            <w:tcW w:w="169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0" w:firstLine="0"/>
              <w:jc w:val="center"/>
            </w:pPr>
            <w:r>
              <w:rPr>
                <w:sz w:val="20"/>
              </w:rPr>
              <w:t xml:space="preserve">0 </w:t>
            </w:r>
          </w:p>
        </w:tc>
        <w:tc>
          <w:tcPr>
            <w:tcW w:w="284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1 </w:t>
            </w:r>
          </w:p>
        </w:tc>
        <w:tc>
          <w:tcPr>
            <w:tcW w:w="141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3 </w:t>
            </w:r>
          </w:p>
        </w:tc>
        <w:tc>
          <w:tcPr>
            <w:tcW w:w="142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8" w:firstLine="0"/>
              <w:jc w:val="center"/>
            </w:pPr>
            <w:r>
              <w:rPr>
                <w:sz w:val="20"/>
              </w:rPr>
              <w:t xml:space="preserve">Q2 </w:t>
            </w:r>
          </w:p>
        </w:tc>
        <w:tc>
          <w:tcPr>
            <w:tcW w:w="170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5" w:firstLine="0"/>
              <w:jc w:val="center"/>
            </w:pPr>
            <w:r>
              <w:rPr>
                <w:sz w:val="20"/>
              </w:rPr>
              <w:t xml:space="preserve">Alta </w:t>
            </w:r>
          </w:p>
        </w:tc>
      </w:tr>
      <w:tr w:rsidR="00E0069E">
        <w:trPr>
          <w:trHeight w:val="1045"/>
        </w:trPr>
        <w:tc>
          <w:tcPr>
            <w:tcW w:w="1845" w:type="dxa"/>
            <w:tcBorders>
              <w:top w:val="single" w:sz="3" w:space="0" w:color="BFBFBF"/>
              <w:left w:val="single" w:sz="3" w:space="0" w:color="BFBFBF"/>
              <w:bottom w:val="single" w:sz="3" w:space="0" w:color="BFBFBF"/>
              <w:right w:val="single" w:sz="3" w:space="0" w:color="BFBFBF"/>
            </w:tcBorders>
          </w:tcPr>
          <w:p w:rsidR="00E0069E" w:rsidRDefault="00C37FF7">
            <w:pPr>
              <w:spacing w:after="4" w:line="359" w:lineRule="auto"/>
              <w:ind w:left="0" w:right="0" w:firstLine="0"/>
              <w:jc w:val="left"/>
            </w:pPr>
            <w:proofErr w:type="spellStart"/>
            <w:r>
              <w:rPr>
                <w:sz w:val="20"/>
              </w:rPr>
              <w:t>Menzies</w:t>
            </w:r>
            <w:proofErr w:type="spellEnd"/>
            <w:r>
              <w:rPr>
                <w:sz w:val="20"/>
              </w:rPr>
              <w:t xml:space="preserve"> </w:t>
            </w:r>
            <w:r>
              <w:rPr>
                <w:i/>
                <w:sz w:val="20"/>
              </w:rPr>
              <w:t>et al</w:t>
            </w:r>
            <w:r>
              <w:rPr>
                <w:sz w:val="20"/>
              </w:rPr>
              <w:t xml:space="preserve">, 2018. </w:t>
            </w:r>
          </w:p>
          <w:p w:rsidR="00E0069E" w:rsidRDefault="00C37FF7">
            <w:pPr>
              <w:spacing w:after="0" w:line="259" w:lineRule="auto"/>
              <w:ind w:left="0" w:right="0" w:firstLine="0"/>
              <w:jc w:val="left"/>
            </w:pPr>
            <w:r>
              <w:rPr>
                <w:sz w:val="20"/>
              </w:rPr>
              <w:t xml:space="preserve"> </w:t>
            </w:r>
          </w:p>
        </w:tc>
        <w:tc>
          <w:tcPr>
            <w:tcW w:w="1560"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39" w:firstLine="0"/>
              <w:jc w:val="center"/>
            </w:pPr>
            <w:r>
              <w:rPr>
                <w:sz w:val="20"/>
              </w:rPr>
              <w:t xml:space="preserve">1 + 1* </w:t>
            </w:r>
          </w:p>
        </w:tc>
        <w:tc>
          <w:tcPr>
            <w:tcW w:w="169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0" w:firstLine="0"/>
              <w:jc w:val="center"/>
            </w:pPr>
            <w:r>
              <w:rPr>
                <w:sz w:val="20"/>
              </w:rPr>
              <w:t xml:space="preserve">0 </w:t>
            </w:r>
          </w:p>
        </w:tc>
        <w:tc>
          <w:tcPr>
            <w:tcW w:w="284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1 </w:t>
            </w:r>
          </w:p>
        </w:tc>
        <w:tc>
          <w:tcPr>
            <w:tcW w:w="141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3 </w:t>
            </w:r>
          </w:p>
        </w:tc>
        <w:tc>
          <w:tcPr>
            <w:tcW w:w="142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8" w:firstLine="0"/>
              <w:jc w:val="center"/>
            </w:pPr>
            <w:r>
              <w:rPr>
                <w:sz w:val="20"/>
              </w:rPr>
              <w:t xml:space="preserve">Q2 </w:t>
            </w:r>
          </w:p>
        </w:tc>
        <w:tc>
          <w:tcPr>
            <w:tcW w:w="170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5" w:firstLine="0"/>
              <w:jc w:val="center"/>
            </w:pPr>
            <w:r>
              <w:rPr>
                <w:sz w:val="20"/>
              </w:rPr>
              <w:t xml:space="preserve">Alta </w:t>
            </w:r>
          </w:p>
        </w:tc>
      </w:tr>
      <w:tr w:rsidR="00E0069E">
        <w:trPr>
          <w:trHeight w:val="356"/>
        </w:trPr>
        <w:tc>
          <w:tcPr>
            <w:tcW w:w="1845"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0" w:firstLine="0"/>
              <w:jc w:val="left"/>
            </w:pPr>
            <w:r>
              <w:rPr>
                <w:sz w:val="20"/>
              </w:rPr>
              <w:t xml:space="preserve">Gao </w:t>
            </w:r>
            <w:r>
              <w:rPr>
                <w:i/>
                <w:sz w:val="20"/>
              </w:rPr>
              <w:t>et al</w:t>
            </w:r>
            <w:r>
              <w:rPr>
                <w:sz w:val="20"/>
              </w:rPr>
              <w:t xml:space="preserve">, 2018. </w:t>
            </w:r>
          </w:p>
        </w:tc>
        <w:tc>
          <w:tcPr>
            <w:tcW w:w="1560"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39" w:firstLine="0"/>
              <w:jc w:val="center"/>
            </w:pPr>
            <w:r>
              <w:rPr>
                <w:sz w:val="20"/>
              </w:rPr>
              <w:t xml:space="preserve">1 + 1* </w:t>
            </w:r>
          </w:p>
        </w:tc>
        <w:tc>
          <w:tcPr>
            <w:tcW w:w="169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0" w:firstLine="0"/>
              <w:jc w:val="center"/>
            </w:pPr>
            <w:r>
              <w:rPr>
                <w:sz w:val="20"/>
              </w:rPr>
              <w:t xml:space="preserve">0 </w:t>
            </w:r>
          </w:p>
        </w:tc>
        <w:tc>
          <w:tcPr>
            <w:tcW w:w="284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1 </w:t>
            </w:r>
          </w:p>
        </w:tc>
        <w:tc>
          <w:tcPr>
            <w:tcW w:w="1416"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1" w:firstLine="0"/>
              <w:jc w:val="center"/>
            </w:pPr>
            <w:r>
              <w:rPr>
                <w:sz w:val="20"/>
              </w:rPr>
              <w:t xml:space="preserve">2 </w:t>
            </w:r>
          </w:p>
        </w:tc>
        <w:tc>
          <w:tcPr>
            <w:tcW w:w="142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8" w:firstLine="0"/>
              <w:jc w:val="center"/>
            </w:pPr>
            <w:r>
              <w:rPr>
                <w:sz w:val="20"/>
              </w:rPr>
              <w:t xml:space="preserve">Q2 </w:t>
            </w:r>
          </w:p>
        </w:tc>
        <w:tc>
          <w:tcPr>
            <w:tcW w:w="1701" w:type="dxa"/>
            <w:tcBorders>
              <w:top w:val="single" w:sz="3" w:space="0" w:color="BFBFBF"/>
              <w:left w:val="single" w:sz="3" w:space="0" w:color="BFBFBF"/>
              <w:bottom w:val="single" w:sz="3" w:space="0" w:color="BFBFBF"/>
              <w:right w:val="single" w:sz="3" w:space="0" w:color="BFBFBF"/>
            </w:tcBorders>
          </w:tcPr>
          <w:p w:rsidR="00E0069E" w:rsidRDefault="00C37FF7">
            <w:pPr>
              <w:spacing w:after="0" w:line="259" w:lineRule="auto"/>
              <w:ind w:left="0" w:right="45" w:firstLine="0"/>
              <w:jc w:val="center"/>
            </w:pPr>
            <w:r>
              <w:rPr>
                <w:sz w:val="20"/>
              </w:rPr>
              <w:t xml:space="preserve">Alta </w:t>
            </w:r>
          </w:p>
        </w:tc>
      </w:tr>
    </w:tbl>
    <w:p w:rsidR="00E0069E" w:rsidRDefault="00C37FF7">
      <w:pPr>
        <w:tabs>
          <w:tab w:val="center" w:pos="6465"/>
        </w:tabs>
        <w:spacing w:after="182" w:line="259" w:lineRule="auto"/>
        <w:ind w:left="-15" w:right="0" w:firstLine="0"/>
        <w:jc w:val="left"/>
      </w:pPr>
      <w:r>
        <w:rPr>
          <w:sz w:val="20"/>
        </w:rPr>
        <w:t xml:space="preserve"> </w:t>
      </w:r>
      <w:r>
        <w:rPr>
          <w:sz w:val="20"/>
        </w:rPr>
        <w:tab/>
        <w:t>Pontuação e classificação: Q1 (0-2) = “Baixa qualidade metodológica”; Q2 (3-</w:t>
      </w:r>
      <w:r>
        <w:rPr>
          <w:sz w:val="20"/>
        </w:rPr>
        <w:t xml:space="preserve">5) = “Alta qualidade metodológica”.  </w:t>
      </w:r>
    </w:p>
    <w:p w:rsidR="00E0069E" w:rsidRDefault="00C37FF7">
      <w:pPr>
        <w:tabs>
          <w:tab w:val="center" w:pos="6592"/>
        </w:tabs>
        <w:spacing w:after="229" w:line="259" w:lineRule="auto"/>
        <w:ind w:left="-15" w:right="0" w:firstLine="0"/>
        <w:jc w:val="left"/>
      </w:pPr>
      <w:r>
        <w:rPr>
          <w:sz w:val="20"/>
        </w:rPr>
        <w:t xml:space="preserve"> </w:t>
      </w:r>
      <w:r>
        <w:rPr>
          <w:sz w:val="20"/>
        </w:rPr>
        <w:tab/>
        <w:t xml:space="preserve">*Caso seja apropriado o processo de randomização, adiciona-se “1” ponto e se for inapropriado, retira-se “1” ponto; </w:t>
      </w:r>
    </w:p>
    <w:p w:rsidR="00E0069E" w:rsidRDefault="00C37FF7">
      <w:pPr>
        <w:tabs>
          <w:tab w:val="center" w:pos="6623"/>
        </w:tabs>
        <w:spacing w:after="154" w:line="259" w:lineRule="auto"/>
        <w:ind w:left="-15" w:right="0" w:firstLine="0"/>
        <w:jc w:val="left"/>
      </w:pPr>
      <w:r>
        <w:rPr>
          <w:sz w:val="20"/>
        </w:rPr>
        <w:t xml:space="preserve"> </w:t>
      </w:r>
      <w:r>
        <w:rPr>
          <w:sz w:val="20"/>
        </w:rPr>
        <w:tab/>
        <w:t xml:space="preserve"> **Caso seja apropriado o processo de “cegamento”, adiciona-se “1” ponto e, se for inapropriado, </w:t>
      </w:r>
      <w:r>
        <w:rPr>
          <w:sz w:val="20"/>
        </w:rPr>
        <w:t>retira-se “1” ponto.</w:t>
      </w:r>
      <w:r>
        <w:t xml:space="preserve"> </w:t>
      </w:r>
    </w:p>
    <w:p w:rsidR="00E0069E" w:rsidRDefault="00C37FF7">
      <w:pPr>
        <w:spacing w:after="0" w:line="259" w:lineRule="auto"/>
        <w:ind w:left="0" w:right="0" w:firstLine="0"/>
        <w:jc w:val="left"/>
      </w:pPr>
      <w:r>
        <w:t xml:space="preserve"> </w:t>
      </w:r>
    </w:p>
    <w:p w:rsidR="00E0069E" w:rsidRDefault="00E0069E">
      <w:pPr>
        <w:sectPr w:rsidR="00E0069E">
          <w:pgSz w:w="16836" w:h="11908" w:orient="landscape"/>
          <w:pgMar w:top="1440" w:right="1440" w:bottom="1440" w:left="1701" w:header="720" w:footer="720" w:gutter="0"/>
          <w:cols w:space="720"/>
        </w:sectPr>
      </w:pPr>
    </w:p>
    <w:p w:rsidR="00E0069E" w:rsidRDefault="00C37FF7">
      <w:pPr>
        <w:spacing w:after="0" w:line="259" w:lineRule="auto"/>
        <w:ind w:left="0" w:right="0" w:firstLine="0"/>
        <w:jc w:val="left"/>
      </w:pPr>
      <w:r>
        <w:rPr>
          <w:rFonts w:ascii="Calibri" w:eastAsia="Calibri" w:hAnsi="Calibri" w:cs="Calibri"/>
          <w:sz w:val="22"/>
        </w:rPr>
        <w:lastRenderedPageBreak/>
        <w:t xml:space="preserve"> </w:t>
      </w:r>
    </w:p>
    <w:p w:rsidR="00E0069E" w:rsidRDefault="00C37FF7">
      <w:pPr>
        <w:pStyle w:val="Ttulo2"/>
        <w:ind w:left="874" w:right="0"/>
      </w:pPr>
      <w:bookmarkStart w:id="21" w:name="_Toc54290"/>
      <w:proofErr w:type="gramStart"/>
      <w:r>
        <w:t>8.4  Análise</w:t>
      </w:r>
      <w:proofErr w:type="gramEnd"/>
      <w:r>
        <w:t xml:space="preserve"> do risco de viés dos Estudos Observacionais  </w:t>
      </w:r>
      <w:bookmarkEnd w:id="21"/>
    </w:p>
    <w:p w:rsidR="00E0069E" w:rsidRDefault="00C37FF7">
      <w:pPr>
        <w:spacing w:after="68"/>
        <w:ind w:left="10" w:right="0"/>
      </w:pPr>
      <w:r>
        <w:t>Entre os dezesseis estudos observacionais incluídos na revisão, treze são estudos de coorte, dois são estudos transversais analíticos e um estudo é caso-cont</w:t>
      </w:r>
      <w:r>
        <w:t>role. Nenhum dos estudos foram classificados com um alto risco de viés. Seis artigos</w:t>
      </w:r>
      <w:r>
        <w:rPr>
          <w:vertAlign w:val="superscript"/>
        </w:rPr>
        <w:t xml:space="preserve"> </w:t>
      </w:r>
      <w:r>
        <w:t>foram considerados com risco de viés “indeterminado”</w:t>
      </w:r>
      <w:r>
        <w:rPr>
          <w:vertAlign w:val="superscript"/>
        </w:rPr>
        <w:t>10,12,23,26,34,37</w:t>
      </w:r>
      <w:r>
        <w:t>, por apresentarem ausência de detalhamento ou inconsistência em itens como: análise estatística aprop</w:t>
      </w:r>
      <w:r>
        <w:t>riada, tempo de acompanhamento curto ou incompleto. Os dez artigos restantes foram considerados com</w:t>
      </w:r>
      <w:r>
        <w:rPr>
          <w:rFonts w:ascii="Calibri" w:eastAsia="Calibri" w:hAnsi="Calibri" w:cs="Calibri"/>
          <w:sz w:val="22"/>
        </w:rPr>
        <w:t xml:space="preserve"> </w:t>
      </w:r>
      <w:r>
        <w:t>baixo risco de viés</w:t>
      </w:r>
      <w:r>
        <w:rPr>
          <w:rFonts w:ascii="Calibri" w:eastAsia="Calibri" w:hAnsi="Calibri" w:cs="Calibri"/>
          <w:sz w:val="22"/>
        </w:rPr>
        <w:t xml:space="preserve"> </w:t>
      </w:r>
      <w:r>
        <w:t>por apresentarem um maior detalhamento na metodologia utilizada, portanto, possuem um bom</w:t>
      </w:r>
      <w:r>
        <w:rPr>
          <w:rFonts w:ascii="Calibri" w:eastAsia="Calibri" w:hAnsi="Calibri" w:cs="Calibri"/>
          <w:sz w:val="22"/>
        </w:rPr>
        <w:t xml:space="preserve"> </w:t>
      </w:r>
      <w:r>
        <w:t>nível de evidência</w:t>
      </w:r>
      <w:r>
        <w:rPr>
          <w:vertAlign w:val="superscript"/>
        </w:rPr>
        <w:t>27–30,32,33,36,40–</w:t>
      </w:r>
    </w:p>
    <w:p w:rsidR="00E0069E" w:rsidRDefault="00C37FF7">
      <w:pPr>
        <w:spacing w:line="259" w:lineRule="auto"/>
        <w:ind w:left="10" w:right="0"/>
      </w:pPr>
      <w:r>
        <w:rPr>
          <w:vertAlign w:val="superscript"/>
        </w:rPr>
        <w:t>42</w:t>
      </w:r>
      <w:r>
        <w:t>. (QUAD</w:t>
      </w:r>
      <w:r>
        <w:t xml:space="preserve">RO 3) </w:t>
      </w:r>
    </w:p>
    <w:p w:rsidR="00E0069E" w:rsidRDefault="00E0069E">
      <w:pPr>
        <w:sectPr w:rsidR="00E0069E">
          <w:pgSz w:w="11908" w:h="16836"/>
          <w:pgMar w:top="1440" w:right="1704" w:bottom="1440" w:left="1133" w:header="720" w:footer="720" w:gutter="0"/>
          <w:cols w:space="720"/>
        </w:sectPr>
      </w:pPr>
    </w:p>
    <w:p w:rsidR="00E0069E" w:rsidRDefault="00C37FF7">
      <w:pPr>
        <w:spacing w:after="0" w:line="259" w:lineRule="auto"/>
        <w:ind w:left="261" w:right="1008" w:firstLine="0"/>
      </w:pPr>
      <w:r>
        <w:rPr>
          <w:rFonts w:ascii="Calibri" w:eastAsia="Calibri" w:hAnsi="Calibri" w:cs="Calibri"/>
          <w:sz w:val="22"/>
        </w:rPr>
        <w:lastRenderedPageBreak/>
        <w:t xml:space="preserve"> </w:t>
      </w:r>
    </w:p>
    <w:p w:rsidR="00E0069E" w:rsidRDefault="00C37FF7">
      <w:pPr>
        <w:spacing w:after="0" w:line="259" w:lineRule="auto"/>
        <w:ind w:left="1575" w:right="0" w:firstLine="0"/>
        <w:jc w:val="left"/>
      </w:pPr>
      <w:r>
        <w:rPr>
          <w:noProof/>
        </w:rPr>
        <w:drawing>
          <wp:inline distT="0" distB="0" distL="0" distR="0">
            <wp:extent cx="7221856" cy="2786380"/>
            <wp:effectExtent l="0" t="0" r="0" b="0"/>
            <wp:docPr id="3879" name="Picture 3879"/>
            <wp:cNvGraphicFramePr/>
            <a:graphic xmlns:a="http://schemas.openxmlformats.org/drawingml/2006/main">
              <a:graphicData uri="http://schemas.openxmlformats.org/drawingml/2006/picture">
                <pic:pic xmlns:pic="http://schemas.openxmlformats.org/drawingml/2006/picture">
                  <pic:nvPicPr>
                    <pic:cNvPr id="3879" name="Picture 3879"/>
                    <pic:cNvPicPr/>
                  </pic:nvPicPr>
                  <pic:blipFill>
                    <a:blip r:embed="rId7"/>
                    <a:stretch>
                      <a:fillRect/>
                    </a:stretch>
                  </pic:blipFill>
                  <pic:spPr>
                    <a:xfrm>
                      <a:off x="0" y="0"/>
                      <a:ext cx="7221856" cy="2786380"/>
                    </a:xfrm>
                    <a:prstGeom prst="rect">
                      <a:avLst/>
                    </a:prstGeom>
                  </pic:spPr>
                </pic:pic>
              </a:graphicData>
            </a:graphic>
          </wp:inline>
        </w:drawing>
      </w:r>
    </w:p>
    <w:p w:rsidR="00E0069E" w:rsidRDefault="00E0069E">
      <w:pPr>
        <w:sectPr w:rsidR="00E0069E">
          <w:pgSz w:w="16836" w:h="11908" w:orient="landscape"/>
          <w:pgMar w:top="1440" w:right="1440" w:bottom="1440" w:left="1440" w:header="720" w:footer="720" w:gutter="0"/>
          <w:cols w:space="720"/>
        </w:sectPr>
      </w:pPr>
    </w:p>
    <w:p w:rsidR="00E0069E" w:rsidRDefault="00C37FF7">
      <w:pPr>
        <w:spacing w:after="0" w:line="259" w:lineRule="auto"/>
        <w:ind w:left="0" w:right="0" w:firstLine="0"/>
        <w:jc w:val="left"/>
      </w:pPr>
      <w:r>
        <w:rPr>
          <w:rFonts w:ascii="Calibri" w:eastAsia="Calibri" w:hAnsi="Calibri" w:cs="Calibri"/>
          <w:sz w:val="22"/>
        </w:rPr>
        <w:lastRenderedPageBreak/>
        <w:t xml:space="preserve"> </w:t>
      </w:r>
    </w:p>
    <w:p w:rsidR="00E0069E" w:rsidRDefault="00C37FF7">
      <w:pPr>
        <w:pStyle w:val="Ttulo2"/>
        <w:ind w:left="874" w:right="0"/>
      </w:pPr>
      <w:bookmarkStart w:id="22" w:name="_Toc54291"/>
      <w:proofErr w:type="gramStart"/>
      <w:r>
        <w:t>8.5  Eventos</w:t>
      </w:r>
      <w:proofErr w:type="gramEnd"/>
      <w:r>
        <w:t xml:space="preserve"> Adversos  </w:t>
      </w:r>
      <w:bookmarkEnd w:id="22"/>
    </w:p>
    <w:p w:rsidR="00E0069E" w:rsidRDefault="00C37FF7">
      <w:pPr>
        <w:spacing w:after="6"/>
        <w:ind w:left="10" w:right="0"/>
      </w:pPr>
      <w:r>
        <w:t>O esquema de tratamento que faz uso de Isoniazida em monoterapia, diária, por 9 meses (9H) esteve presente em 15 estudos sendo, portanto, o tipo de esquema mais comum</w:t>
      </w:r>
      <w:r>
        <w:rPr>
          <w:vertAlign w:val="superscript"/>
        </w:rPr>
        <w:t>10,23,24,26,28–30,32–</w:t>
      </w:r>
      <w:r>
        <w:rPr>
          <w:vertAlign w:val="superscript"/>
        </w:rPr>
        <w:t>37,40,41</w:t>
      </w:r>
      <w:r>
        <w:t xml:space="preserve">. O segundo esquema terapêutico mais utilizado foi o uso de </w:t>
      </w:r>
      <w:proofErr w:type="spellStart"/>
      <w:r>
        <w:t>Rifapentina</w:t>
      </w:r>
      <w:proofErr w:type="spellEnd"/>
      <w:r>
        <w:t xml:space="preserve"> combinada com a Isoniazida, uma vez por semana, por 3 meses </w:t>
      </w:r>
    </w:p>
    <w:p w:rsidR="00E0069E" w:rsidRDefault="00C37FF7">
      <w:pPr>
        <w:spacing w:after="369" w:line="261" w:lineRule="auto"/>
        <w:ind w:left="-5" w:right="0"/>
        <w:jc w:val="left"/>
      </w:pPr>
      <w:r>
        <w:t>(3HP)</w:t>
      </w:r>
      <w:r>
        <w:rPr>
          <w:sz w:val="16"/>
        </w:rPr>
        <w:t>24–32,34,38,39,42,43</w:t>
      </w:r>
      <w:r>
        <w:t xml:space="preserve">. </w:t>
      </w:r>
      <w:r>
        <w:rPr>
          <w:rFonts w:ascii="Times New Roman" w:eastAsia="Times New Roman" w:hAnsi="Times New Roman" w:cs="Times New Roman"/>
        </w:rPr>
        <w:t xml:space="preserve"> </w:t>
      </w:r>
    </w:p>
    <w:p w:rsidR="00E0069E" w:rsidRDefault="00C37FF7">
      <w:pPr>
        <w:spacing w:after="16"/>
        <w:ind w:left="10" w:right="0"/>
      </w:pPr>
      <w:r>
        <w:t>Os eventos adversos mais comuns foram: sintomas gastrointestinais como diarreia, dor a</w:t>
      </w:r>
      <w:r>
        <w:t xml:space="preserve">bdominal, náuseas e vômitos, que foram descritos sem 15 estudos </w:t>
      </w:r>
      <w:r>
        <w:rPr>
          <w:vertAlign w:val="superscript"/>
        </w:rPr>
        <w:t>1,2,7– 9,11,12,14,15,17–21,23</w:t>
      </w:r>
      <w:r>
        <w:t>; hepatotoxicidade, tem como descrição a elevação das transaminases (AST/ALT), maior que 3 vezes do limite superior normal, estiveram presentes em 14 estudos</w:t>
      </w:r>
      <w:r>
        <w:rPr>
          <w:vertAlign w:val="superscript"/>
        </w:rPr>
        <w:t>2–4,6,</w:t>
      </w:r>
      <w:r>
        <w:rPr>
          <w:vertAlign w:val="superscript"/>
        </w:rPr>
        <w:t>7,11,12,14,18,19,21–23</w:t>
      </w:r>
      <w:r>
        <w:t xml:space="preserve">; os sintomas semelhantes aos da gripe, como dor de cabeça, mialgia, febre e mal-estar, que estiveram em 9 estudos </w:t>
      </w:r>
      <w:r>
        <w:rPr>
          <w:vertAlign w:val="superscript"/>
        </w:rPr>
        <w:t>8,9,15,18–</w:t>
      </w:r>
    </w:p>
    <w:p w:rsidR="00E0069E" w:rsidRDefault="00C37FF7">
      <w:pPr>
        <w:spacing w:after="369" w:line="261" w:lineRule="auto"/>
        <w:ind w:left="-5" w:right="0"/>
        <w:jc w:val="left"/>
      </w:pPr>
      <w:r>
        <w:rPr>
          <w:sz w:val="16"/>
        </w:rPr>
        <w:t>23</w:t>
      </w:r>
      <w:r>
        <w:t>.</w:t>
      </w:r>
      <w:r>
        <w:rPr>
          <w:rFonts w:ascii="Times New Roman" w:eastAsia="Times New Roman" w:hAnsi="Times New Roman" w:cs="Times New Roman"/>
        </w:rPr>
        <w:t xml:space="preserve"> </w:t>
      </w:r>
    </w:p>
    <w:p w:rsidR="00E0069E" w:rsidRDefault="00C37FF7">
      <w:pPr>
        <w:spacing w:after="178"/>
        <w:ind w:left="10" w:right="0"/>
      </w:pPr>
      <w:r>
        <w:t>Alguns estudos tiveram algumas limitações em relação à descrição mais detalhada dos eventos adversos. O</w:t>
      </w:r>
      <w:r>
        <w:t xml:space="preserve"> estudo conduzido por </w:t>
      </w:r>
      <w:proofErr w:type="spellStart"/>
      <w:r>
        <w:t>Erkens</w:t>
      </w:r>
      <w:proofErr w:type="spellEnd"/>
      <w:r>
        <w:t xml:space="preserve"> </w:t>
      </w:r>
      <w:r>
        <w:rPr>
          <w:i/>
        </w:rPr>
        <w:t>et al</w:t>
      </w:r>
      <w:r>
        <w:rPr>
          <w:vertAlign w:val="superscript"/>
        </w:rPr>
        <w:t>40</w:t>
      </w:r>
      <w:r>
        <w:t xml:space="preserve"> descreveu os eventos adversos de forma pouco criteriosa, como: disfunção hepática, neurológica, psicológica, alergia, disfunção visual e artralgia. Não foi descrito no estudo os sintomas presentes em cada categoria que </w:t>
      </w:r>
      <w:r>
        <w:t xml:space="preserve">foi apresentada. Além disso, as </w:t>
      </w:r>
      <w:proofErr w:type="gramStart"/>
      <w:r>
        <w:t>categorias  foram</w:t>
      </w:r>
      <w:proofErr w:type="gramEnd"/>
      <w:r>
        <w:t xml:space="preserve"> apresentadas de forma geral, sem detalhamento do sintoma de acordo com cada tipo de esquema que foi utilizado. Gray </w:t>
      </w:r>
      <w:r>
        <w:rPr>
          <w:i/>
        </w:rPr>
        <w:t>et al</w:t>
      </w:r>
      <w:r>
        <w:rPr>
          <w:vertAlign w:val="superscript"/>
        </w:rPr>
        <w:t>37</w:t>
      </w:r>
      <w:r>
        <w:t xml:space="preserve"> também discorreram sobre os eventos adversos de forma pouco detalhada, apenas cara</w:t>
      </w:r>
      <w:r>
        <w:t>cterizando-os em grau 1, 2, 3, 4 ou 5, de acordo com a tabela de DAIDS</w:t>
      </w:r>
      <w:r>
        <w:rPr>
          <w:vertAlign w:val="superscript"/>
        </w:rPr>
        <w:t>44</w:t>
      </w:r>
      <w:r>
        <w:t xml:space="preserve">. </w:t>
      </w:r>
    </w:p>
    <w:p w:rsidR="00E0069E" w:rsidRDefault="00C37FF7">
      <w:pPr>
        <w:ind w:left="10" w:right="0"/>
      </w:pPr>
      <w:proofErr w:type="spellStart"/>
      <w:r>
        <w:t>Feng</w:t>
      </w:r>
      <w:proofErr w:type="spellEnd"/>
      <w:r>
        <w:t xml:space="preserve"> </w:t>
      </w:r>
      <w:r>
        <w:rPr>
          <w:i/>
        </w:rPr>
        <w:t>et al</w:t>
      </w:r>
      <w:r>
        <w:rPr>
          <w:vertAlign w:val="superscript"/>
        </w:rPr>
        <w:t>29</w:t>
      </w:r>
      <w:r>
        <w:t xml:space="preserve"> não apresentou a frequência de eventos adversos nos seus resultados, de acordo aos esquemas de tratamento utilizados (9H, 3HP, 4R). Apenas foi </w:t>
      </w:r>
      <w:proofErr w:type="gramStart"/>
      <w:r>
        <w:t xml:space="preserve">descrito  </w:t>
      </w:r>
      <w:r>
        <w:t>sobre</w:t>
      </w:r>
      <w:proofErr w:type="gramEnd"/>
      <w:r>
        <w:t xml:space="preserve"> as amostras dos esquemas 9H e 3HP, no qual, em um total de 27 pacientes relataram EA, sendo que 22 pacientes fizeram parte do esquema 3HP e os cinco restantes participaram do 9H. Não foi informado no estudo sobre os relatos de EA em pacientes que uti</w:t>
      </w:r>
      <w:r>
        <w:t>lizaram o esquema 4R.  (TABELA 1)</w:t>
      </w:r>
    </w:p>
    <w:p w:rsidR="00E0069E" w:rsidRDefault="00E0069E">
      <w:pPr>
        <w:sectPr w:rsidR="00E0069E">
          <w:pgSz w:w="11908" w:h="16836"/>
          <w:pgMar w:top="1440" w:right="1704" w:bottom="1440" w:left="1133" w:header="720" w:footer="720" w:gutter="0"/>
          <w:cols w:space="720"/>
        </w:sectPr>
      </w:pPr>
    </w:p>
    <w:p w:rsidR="00E0069E" w:rsidRDefault="00C37FF7">
      <w:pPr>
        <w:spacing w:after="100" w:line="259" w:lineRule="auto"/>
        <w:ind w:left="0" w:right="0" w:firstLine="0"/>
        <w:jc w:val="right"/>
      </w:pPr>
      <w:r>
        <w:rPr>
          <w:noProof/>
        </w:rPr>
        <w:lastRenderedPageBreak/>
        <w:drawing>
          <wp:inline distT="0" distB="0" distL="0" distR="0">
            <wp:extent cx="8919210" cy="5050790"/>
            <wp:effectExtent l="0" t="0" r="0" b="0"/>
            <wp:docPr id="4037" name="Picture 4037"/>
            <wp:cNvGraphicFramePr/>
            <a:graphic xmlns:a="http://schemas.openxmlformats.org/drawingml/2006/main">
              <a:graphicData uri="http://schemas.openxmlformats.org/drawingml/2006/picture">
                <pic:pic xmlns:pic="http://schemas.openxmlformats.org/drawingml/2006/picture">
                  <pic:nvPicPr>
                    <pic:cNvPr id="4037" name="Picture 4037"/>
                    <pic:cNvPicPr/>
                  </pic:nvPicPr>
                  <pic:blipFill>
                    <a:blip r:embed="rId8"/>
                    <a:stretch>
                      <a:fillRect/>
                    </a:stretch>
                  </pic:blipFill>
                  <pic:spPr>
                    <a:xfrm>
                      <a:off x="0" y="0"/>
                      <a:ext cx="8919210" cy="5050790"/>
                    </a:xfrm>
                    <a:prstGeom prst="rect">
                      <a:avLst/>
                    </a:prstGeom>
                  </pic:spPr>
                </pic:pic>
              </a:graphicData>
            </a:graphic>
          </wp:inline>
        </w:drawing>
      </w:r>
      <w:r>
        <w:rPr>
          <w:b/>
          <w:sz w:val="20"/>
        </w:rPr>
        <w:t xml:space="preserve"> </w:t>
      </w:r>
    </w:p>
    <w:p w:rsidR="00E0069E" w:rsidRDefault="00C37FF7">
      <w:pPr>
        <w:spacing w:after="0" w:line="259" w:lineRule="auto"/>
        <w:ind w:left="7002" w:right="0" w:firstLine="0"/>
        <w:jc w:val="left"/>
      </w:pPr>
      <w:r>
        <w:rPr>
          <w:b/>
          <w:sz w:val="20"/>
        </w:rPr>
        <w:t xml:space="preserve"> </w:t>
      </w:r>
    </w:p>
    <w:p w:rsidR="00E0069E" w:rsidRDefault="00C37FF7">
      <w:pPr>
        <w:spacing w:after="140" w:line="259" w:lineRule="auto"/>
        <w:ind w:left="0" w:right="7046" w:firstLine="0"/>
        <w:jc w:val="right"/>
      </w:pPr>
      <w:r>
        <w:rPr>
          <w:b/>
          <w:sz w:val="20"/>
        </w:rPr>
        <w:lastRenderedPageBreak/>
        <w:t xml:space="preserve"> </w:t>
      </w:r>
    </w:p>
    <w:p w:rsidR="00E0069E" w:rsidRDefault="00C37FF7">
      <w:pPr>
        <w:spacing w:after="0" w:line="259" w:lineRule="auto"/>
        <w:ind w:left="0" w:right="0" w:firstLine="0"/>
        <w:jc w:val="left"/>
      </w:pPr>
      <w:r>
        <w:rPr>
          <w:b/>
          <w:sz w:val="20"/>
        </w:rPr>
        <w:t xml:space="preserve"> </w:t>
      </w:r>
    </w:p>
    <w:p w:rsidR="00E0069E" w:rsidRDefault="00C37FF7">
      <w:pPr>
        <w:spacing w:after="0" w:line="259" w:lineRule="auto"/>
        <w:ind w:left="207" w:right="0" w:firstLine="0"/>
        <w:jc w:val="left"/>
      </w:pPr>
      <w:r>
        <w:rPr>
          <w:noProof/>
        </w:rPr>
        <w:drawing>
          <wp:inline distT="0" distB="0" distL="0" distR="0">
            <wp:extent cx="8625332" cy="4845051"/>
            <wp:effectExtent l="0" t="0" r="0" b="0"/>
            <wp:docPr id="4047" name="Picture 4047"/>
            <wp:cNvGraphicFramePr/>
            <a:graphic xmlns:a="http://schemas.openxmlformats.org/drawingml/2006/main">
              <a:graphicData uri="http://schemas.openxmlformats.org/drawingml/2006/picture">
                <pic:pic xmlns:pic="http://schemas.openxmlformats.org/drawingml/2006/picture">
                  <pic:nvPicPr>
                    <pic:cNvPr id="4047" name="Picture 4047"/>
                    <pic:cNvPicPr/>
                  </pic:nvPicPr>
                  <pic:blipFill>
                    <a:blip r:embed="rId9"/>
                    <a:stretch>
                      <a:fillRect/>
                    </a:stretch>
                  </pic:blipFill>
                  <pic:spPr>
                    <a:xfrm>
                      <a:off x="0" y="0"/>
                      <a:ext cx="8625332" cy="4845051"/>
                    </a:xfrm>
                    <a:prstGeom prst="rect">
                      <a:avLst/>
                    </a:prstGeom>
                  </pic:spPr>
                </pic:pic>
              </a:graphicData>
            </a:graphic>
          </wp:inline>
        </w:drawing>
      </w:r>
    </w:p>
    <w:p w:rsidR="00E0069E" w:rsidRDefault="00C37FF7">
      <w:pPr>
        <w:spacing w:after="0" w:line="259" w:lineRule="auto"/>
        <w:ind w:left="278" w:right="0" w:firstLine="0"/>
        <w:jc w:val="left"/>
      </w:pPr>
      <w:r>
        <w:rPr>
          <w:noProof/>
        </w:rPr>
        <w:lastRenderedPageBreak/>
        <w:drawing>
          <wp:inline distT="0" distB="0" distL="0" distR="0">
            <wp:extent cx="8538845" cy="4846828"/>
            <wp:effectExtent l="0" t="0" r="0" b="0"/>
            <wp:docPr id="4055" name="Picture 4055"/>
            <wp:cNvGraphicFramePr/>
            <a:graphic xmlns:a="http://schemas.openxmlformats.org/drawingml/2006/main">
              <a:graphicData uri="http://schemas.openxmlformats.org/drawingml/2006/picture">
                <pic:pic xmlns:pic="http://schemas.openxmlformats.org/drawingml/2006/picture">
                  <pic:nvPicPr>
                    <pic:cNvPr id="4055" name="Picture 4055"/>
                    <pic:cNvPicPr/>
                  </pic:nvPicPr>
                  <pic:blipFill>
                    <a:blip r:embed="rId10"/>
                    <a:stretch>
                      <a:fillRect/>
                    </a:stretch>
                  </pic:blipFill>
                  <pic:spPr>
                    <a:xfrm>
                      <a:off x="0" y="0"/>
                      <a:ext cx="8538845" cy="4846828"/>
                    </a:xfrm>
                    <a:prstGeom prst="rect">
                      <a:avLst/>
                    </a:prstGeom>
                  </pic:spPr>
                </pic:pic>
              </a:graphicData>
            </a:graphic>
          </wp:inline>
        </w:drawing>
      </w:r>
    </w:p>
    <w:p w:rsidR="00E0069E" w:rsidRDefault="00C37FF7">
      <w:pPr>
        <w:spacing w:after="0" w:line="259" w:lineRule="auto"/>
        <w:ind w:left="-289" w:right="0" w:firstLine="0"/>
        <w:jc w:val="left"/>
      </w:pPr>
      <w:r>
        <w:rPr>
          <w:noProof/>
        </w:rPr>
        <w:lastRenderedPageBreak/>
        <w:drawing>
          <wp:inline distT="0" distB="0" distL="0" distR="0">
            <wp:extent cx="8538845" cy="4898263"/>
            <wp:effectExtent l="0" t="0" r="0" b="0"/>
            <wp:docPr id="4063" name="Picture 4063"/>
            <wp:cNvGraphicFramePr/>
            <a:graphic xmlns:a="http://schemas.openxmlformats.org/drawingml/2006/main">
              <a:graphicData uri="http://schemas.openxmlformats.org/drawingml/2006/picture">
                <pic:pic xmlns:pic="http://schemas.openxmlformats.org/drawingml/2006/picture">
                  <pic:nvPicPr>
                    <pic:cNvPr id="4063" name="Picture 4063"/>
                    <pic:cNvPicPr/>
                  </pic:nvPicPr>
                  <pic:blipFill>
                    <a:blip r:embed="rId11"/>
                    <a:stretch>
                      <a:fillRect/>
                    </a:stretch>
                  </pic:blipFill>
                  <pic:spPr>
                    <a:xfrm>
                      <a:off x="0" y="0"/>
                      <a:ext cx="8538845" cy="4898263"/>
                    </a:xfrm>
                    <a:prstGeom prst="rect">
                      <a:avLst/>
                    </a:prstGeom>
                  </pic:spPr>
                </pic:pic>
              </a:graphicData>
            </a:graphic>
          </wp:inline>
        </w:drawing>
      </w:r>
    </w:p>
    <w:p w:rsidR="00E0069E" w:rsidRDefault="00E0069E">
      <w:pPr>
        <w:sectPr w:rsidR="00E0069E">
          <w:pgSz w:w="16836" w:h="11908" w:orient="landscape"/>
          <w:pgMar w:top="1783" w:right="1033" w:bottom="1715" w:left="1701" w:header="720" w:footer="720" w:gutter="0"/>
          <w:cols w:space="720"/>
        </w:sectPr>
      </w:pPr>
    </w:p>
    <w:p w:rsidR="00E0069E" w:rsidRDefault="00C37FF7">
      <w:pPr>
        <w:pStyle w:val="Ttulo3"/>
        <w:ind w:left="1735" w:right="0"/>
      </w:pPr>
      <w:bookmarkStart w:id="23" w:name="_Toc54292"/>
      <w:r>
        <w:lastRenderedPageBreak/>
        <w:t xml:space="preserve">8.5.1 Frequência de eventos adversos </w:t>
      </w:r>
      <w:bookmarkEnd w:id="23"/>
    </w:p>
    <w:p w:rsidR="00E0069E" w:rsidRDefault="00C37FF7">
      <w:pPr>
        <w:ind w:left="10" w:right="0"/>
      </w:pPr>
      <w:r>
        <w:t xml:space="preserve">Em relação a frequência de eventos adversos descritas nos estudos, o artigo que apresentou uma maior frequência de eventos adversos foi </w:t>
      </w:r>
      <w:proofErr w:type="spellStart"/>
      <w:r>
        <w:t>Lin</w:t>
      </w:r>
      <w:proofErr w:type="spellEnd"/>
      <w:r>
        <w:t xml:space="preserve"> </w:t>
      </w:r>
      <w:r>
        <w:rPr>
          <w:i/>
        </w:rPr>
        <w:t>et al</w:t>
      </w:r>
      <w:r>
        <w:rPr>
          <w:vertAlign w:val="superscript"/>
        </w:rPr>
        <w:t>30</w:t>
      </w:r>
      <w:r>
        <w:t xml:space="preserve">, onde 90% (37/41) dos pacientes que utilizaram 9H como esquema de tratamento, apresentaram eventos adversos e a frequência no esquema 3HP foi de 96% (48/50). Em comparação, o estudo de </w:t>
      </w:r>
      <w:proofErr w:type="spellStart"/>
      <w:r>
        <w:t>Bliven-Sizemore</w:t>
      </w:r>
      <w:proofErr w:type="spellEnd"/>
      <w:r>
        <w:t xml:space="preserve"> </w:t>
      </w:r>
      <w:r>
        <w:rPr>
          <w:i/>
        </w:rPr>
        <w:t>et al</w:t>
      </w:r>
      <w:r>
        <w:rPr>
          <w:vertAlign w:val="superscript"/>
        </w:rPr>
        <w:t>34</w:t>
      </w:r>
      <w:r>
        <w:t xml:space="preserve"> também utilizou os mesmos esquemas de t</w:t>
      </w:r>
      <w:r>
        <w:t xml:space="preserve">ratamento mais apresentaram uma frequência de 0,42% no 3HP (15/3.545) e 1,83% no 9H (61/3.317). (Tabela 2) </w:t>
      </w:r>
    </w:p>
    <w:p w:rsidR="00E0069E" w:rsidRDefault="00C37FF7">
      <w:pPr>
        <w:ind w:left="10" w:right="0"/>
      </w:pPr>
      <w:r>
        <w:t xml:space="preserve">Dois estudos não trouxeram informações concisas em relação a frequência de eventos adversos, são eles: </w:t>
      </w:r>
      <w:proofErr w:type="spellStart"/>
      <w:r>
        <w:t>Feng</w:t>
      </w:r>
      <w:proofErr w:type="spellEnd"/>
      <w:r>
        <w:t xml:space="preserve"> e </w:t>
      </w:r>
      <w:proofErr w:type="spellStart"/>
      <w:r>
        <w:t>Erkens</w:t>
      </w:r>
      <w:proofErr w:type="spellEnd"/>
      <w:r>
        <w:t xml:space="preserve"> </w:t>
      </w:r>
      <w:r>
        <w:rPr>
          <w:i/>
        </w:rPr>
        <w:t>et al</w:t>
      </w:r>
      <w:r>
        <w:t xml:space="preserve">. </w:t>
      </w:r>
      <w:proofErr w:type="spellStart"/>
      <w:r>
        <w:t>Feng</w:t>
      </w:r>
      <w:proofErr w:type="spellEnd"/>
      <w:r>
        <w:t xml:space="preserve"> </w:t>
      </w:r>
      <w:r>
        <w:rPr>
          <w:i/>
        </w:rPr>
        <w:t>et al</w:t>
      </w:r>
      <w:r>
        <w:rPr>
          <w:vertAlign w:val="superscript"/>
        </w:rPr>
        <w:t>29</w:t>
      </w:r>
      <w:r>
        <w:t xml:space="preserve"> apresentou </w:t>
      </w:r>
      <w:r>
        <w:t>não subdividiu a frequência de eventos adversos conforme os esquemas de tratamento utilizados (9H, 3HP, 4R). Mais especificamente, apenas foi relatado que 27 (6,6%) pacientes que compuseram o estudo, relataram eventos adversos. Sendo que, 22 (7,5%) pacient</w:t>
      </w:r>
      <w:r>
        <w:t xml:space="preserve">es compõem o esquema de tratamento 3HP e 5 (5%) correspondem ao grupo 9H. Não foi descrito acerca da frequência de eventos adversos no esquema 4R. </w:t>
      </w:r>
      <w:proofErr w:type="spellStart"/>
      <w:r>
        <w:t>Erkens</w:t>
      </w:r>
      <w:proofErr w:type="spellEnd"/>
      <w:r>
        <w:t xml:space="preserve"> </w:t>
      </w:r>
      <w:r>
        <w:rPr>
          <w:i/>
        </w:rPr>
        <w:t>et al</w:t>
      </w:r>
      <w:r>
        <w:rPr>
          <w:vertAlign w:val="superscript"/>
        </w:rPr>
        <w:t>40</w:t>
      </w:r>
      <w:r>
        <w:t xml:space="preserve"> não apresentou e nem categorizou a frequência de eventos adversos, apenas informou que do tota</w:t>
      </w:r>
      <w:r>
        <w:t xml:space="preserve">l da população que é de 27.748 pessoas, 2.105 pacientes interromperam o tratamento devido aos efeitos causados nos esquemas de tratamento reduzido 6H e 3HR e os sem redução, 9H, 4R e 4HR. (TABELA 2) </w:t>
      </w:r>
    </w:p>
    <w:p w:rsidR="00E0069E" w:rsidRDefault="00C37FF7">
      <w:pPr>
        <w:spacing w:after="0" w:line="259" w:lineRule="auto"/>
        <w:ind w:left="0" w:right="0" w:firstLine="0"/>
        <w:jc w:val="left"/>
      </w:pPr>
      <w:r>
        <w:rPr>
          <w:rFonts w:ascii="Calibri" w:eastAsia="Calibri" w:hAnsi="Calibri" w:cs="Calibri"/>
          <w:sz w:val="22"/>
        </w:rPr>
        <w:t xml:space="preserve"> </w:t>
      </w:r>
    </w:p>
    <w:p w:rsidR="00E0069E" w:rsidRDefault="00E0069E">
      <w:pPr>
        <w:sectPr w:rsidR="00E0069E">
          <w:pgSz w:w="11908" w:h="16836"/>
          <w:pgMar w:top="1440" w:right="1705" w:bottom="1440" w:left="1133" w:header="720" w:footer="720" w:gutter="0"/>
          <w:cols w:space="720"/>
        </w:sectPr>
      </w:pPr>
    </w:p>
    <w:p w:rsidR="00E0069E" w:rsidRDefault="00C37FF7">
      <w:pPr>
        <w:spacing w:after="335" w:line="259" w:lineRule="auto"/>
        <w:ind w:left="0" w:right="0" w:firstLine="0"/>
        <w:jc w:val="left"/>
      </w:pPr>
      <w:r>
        <w:rPr>
          <w:rFonts w:ascii="Calibri" w:eastAsia="Calibri" w:hAnsi="Calibri" w:cs="Calibri"/>
          <w:sz w:val="22"/>
        </w:rPr>
        <w:lastRenderedPageBreak/>
        <w:t xml:space="preserve"> </w:t>
      </w:r>
    </w:p>
    <w:p w:rsidR="00E0069E" w:rsidRDefault="00C37FF7">
      <w:pPr>
        <w:spacing w:after="260" w:line="259" w:lineRule="auto"/>
        <w:ind w:left="0" w:right="0" w:firstLine="0"/>
        <w:jc w:val="left"/>
      </w:pPr>
      <w:r>
        <w:rPr>
          <w:rFonts w:ascii="Calibri" w:eastAsia="Calibri" w:hAnsi="Calibri" w:cs="Calibri"/>
          <w:sz w:val="28"/>
        </w:rPr>
        <w:t xml:space="preserve"> </w:t>
      </w:r>
    </w:p>
    <w:p w:rsidR="00E0069E" w:rsidRDefault="00C37FF7">
      <w:pPr>
        <w:spacing w:after="0" w:line="259" w:lineRule="auto"/>
        <w:ind w:left="0" w:right="2" w:firstLine="0"/>
        <w:jc w:val="right"/>
      </w:pPr>
      <w:r>
        <w:rPr>
          <w:b/>
        </w:rPr>
        <w:t>Tabela 2 –</w:t>
      </w:r>
      <w:r>
        <w:rPr>
          <w:vertAlign w:val="subscript"/>
        </w:rPr>
        <w:t xml:space="preserve"> </w:t>
      </w:r>
      <w:r>
        <w:t xml:space="preserve">Frequência </w:t>
      </w:r>
      <w:r>
        <w:t xml:space="preserve">de eventos adversos de acordo com os esquemas de tratamentos utilizados por cada estudo. </w:t>
      </w:r>
    </w:p>
    <w:tbl>
      <w:tblPr>
        <w:tblStyle w:val="TableGrid"/>
        <w:tblW w:w="8710" w:type="dxa"/>
        <w:tblInd w:w="2649" w:type="dxa"/>
        <w:tblCellMar>
          <w:top w:w="10" w:type="dxa"/>
          <w:left w:w="0" w:type="dxa"/>
          <w:bottom w:w="0" w:type="dxa"/>
          <w:right w:w="115" w:type="dxa"/>
        </w:tblCellMar>
        <w:tblLook w:val="04A0" w:firstRow="1" w:lastRow="0" w:firstColumn="1" w:lastColumn="0" w:noHBand="0" w:noVBand="1"/>
      </w:tblPr>
      <w:tblGrid>
        <w:gridCol w:w="1821"/>
        <w:gridCol w:w="1496"/>
        <w:gridCol w:w="1744"/>
        <w:gridCol w:w="3649"/>
      </w:tblGrid>
      <w:tr w:rsidR="00E0069E">
        <w:trPr>
          <w:trHeight w:val="1044"/>
        </w:trPr>
        <w:tc>
          <w:tcPr>
            <w:tcW w:w="1820" w:type="dxa"/>
            <w:tcBorders>
              <w:top w:val="single" w:sz="3" w:space="0" w:color="7F7F7F"/>
              <w:left w:val="nil"/>
              <w:bottom w:val="single" w:sz="3" w:space="0" w:color="7F7F7F"/>
              <w:right w:val="nil"/>
            </w:tcBorders>
          </w:tcPr>
          <w:p w:rsidR="00E0069E" w:rsidRDefault="00C37FF7">
            <w:pPr>
              <w:spacing w:after="0" w:line="259" w:lineRule="auto"/>
              <w:ind w:left="5" w:right="0" w:firstLine="0"/>
              <w:jc w:val="center"/>
            </w:pPr>
            <w:r>
              <w:rPr>
                <w:b/>
                <w:sz w:val="20"/>
              </w:rPr>
              <w:t xml:space="preserve">Estudos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0" w:right="0" w:firstLine="0"/>
              <w:jc w:val="left"/>
            </w:pPr>
            <w:r>
              <w:rPr>
                <w:b/>
                <w:sz w:val="20"/>
              </w:rPr>
              <w:t xml:space="preserve">Esquema de tratamento </w:t>
            </w:r>
          </w:p>
        </w:tc>
        <w:tc>
          <w:tcPr>
            <w:tcW w:w="1744" w:type="dxa"/>
            <w:tcBorders>
              <w:top w:val="single" w:sz="3" w:space="0" w:color="7F7F7F"/>
              <w:left w:val="nil"/>
              <w:bottom w:val="single" w:sz="3" w:space="0" w:color="7F7F7F"/>
              <w:right w:val="nil"/>
            </w:tcBorders>
          </w:tcPr>
          <w:p w:rsidR="00E0069E" w:rsidRDefault="00C37FF7">
            <w:pPr>
              <w:spacing w:after="96" w:line="259" w:lineRule="auto"/>
              <w:ind w:left="0" w:right="0" w:firstLine="0"/>
              <w:jc w:val="left"/>
            </w:pPr>
            <w:r>
              <w:rPr>
                <w:b/>
                <w:sz w:val="20"/>
              </w:rPr>
              <w:t xml:space="preserve">Frequência de </w:t>
            </w:r>
          </w:p>
          <w:p w:rsidR="00E0069E" w:rsidRDefault="00C37FF7">
            <w:pPr>
              <w:spacing w:after="0" w:line="259" w:lineRule="auto"/>
              <w:ind w:left="356" w:right="0" w:firstLine="0"/>
              <w:jc w:val="left"/>
            </w:pPr>
            <w:r>
              <w:rPr>
                <w:b/>
                <w:sz w:val="20"/>
              </w:rPr>
              <w:t xml:space="preserve">EA (%) </w:t>
            </w:r>
          </w:p>
        </w:tc>
        <w:tc>
          <w:tcPr>
            <w:tcW w:w="3649" w:type="dxa"/>
            <w:tcBorders>
              <w:top w:val="single" w:sz="3" w:space="0" w:color="7F7F7F"/>
              <w:left w:val="nil"/>
              <w:bottom w:val="single" w:sz="3" w:space="0" w:color="7F7F7F"/>
              <w:right w:val="nil"/>
            </w:tcBorders>
          </w:tcPr>
          <w:p w:rsidR="00E0069E" w:rsidRDefault="00C37FF7">
            <w:pPr>
              <w:spacing w:after="0" w:line="359" w:lineRule="auto"/>
              <w:ind w:left="296" w:right="0" w:hanging="296"/>
              <w:jc w:val="left"/>
            </w:pPr>
            <w:r>
              <w:rPr>
                <w:b/>
                <w:sz w:val="20"/>
              </w:rPr>
              <w:t xml:space="preserve">n de pessoas que apresentaram EA/ n de pessoas que utilizaram o </w:t>
            </w:r>
          </w:p>
          <w:p w:rsidR="00E0069E" w:rsidRDefault="00C37FF7">
            <w:pPr>
              <w:spacing w:after="0" w:line="259" w:lineRule="auto"/>
              <w:ind w:left="0" w:right="94" w:firstLine="0"/>
              <w:jc w:val="center"/>
            </w:pPr>
            <w:r>
              <w:rPr>
                <w:b/>
                <w:sz w:val="20"/>
              </w:rPr>
              <w:t xml:space="preserve">esquema </w:t>
            </w:r>
          </w:p>
        </w:tc>
      </w:tr>
      <w:tr w:rsidR="00E0069E">
        <w:trPr>
          <w:trHeight w:val="356"/>
        </w:trPr>
        <w:tc>
          <w:tcPr>
            <w:tcW w:w="1820" w:type="dxa"/>
            <w:vMerge w:val="restart"/>
            <w:tcBorders>
              <w:top w:val="single" w:sz="3" w:space="0" w:color="7F7F7F"/>
              <w:left w:val="nil"/>
              <w:bottom w:val="single" w:sz="3" w:space="0" w:color="7F7F7F"/>
              <w:right w:val="nil"/>
            </w:tcBorders>
          </w:tcPr>
          <w:p w:rsidR="00E0069E" w:rsidRDefault="00C37FF7">
            <w:pPr>
              <w:spacing w:after="0" w:line="259" w:lineRule="auto"/>
              <w:ind w:left="8" w:right="0" w:firstLine="0"/>
              <w:jc w:val="center"/>
            </w:pPr>
            <w:r>
              <w:rPr>
                <w:b/>
                <w:sz w:val="20"/>
              </w:rPr>
              <w:t xml:space="preserve">Gao </w:t>
            </w:r>
            <w:r>
              <w:rPr>
                <w:b/>
                <w:i/>
                <w:sz w:val="20"/>
              </w:rPr>
              <w:t>et al</w:t>
            </w:r>
            <w:r>
              <w:rPr>
                <w:sz w:val="20"/>
                <w:vertAlign w:val="superscript"/>
              </w:rPr>
              <w:t>43</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12" w:right="0" w:firstLine="0"/>
              <w:jc w:val="left"/>
            </w:pPr>
            <w:r>
              <w:rPr>
                <w:sz w:val="20"/>
              </w:rPr>
              <w:t xml:space="preserve">3HP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28" w:right="0" w:firstLine="0"/>
              <w:jc w:val="left"/>
            </w:pPr>
            <w:r>
              <w:rPr>
                <w:sz w:val="20"/>
              </w:rPr>
              <w:t xml:space="preserve">40,53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5" w:firstLine="0"/>
              <w:jc w:val="center"/>
            </w:pPr>
            <w:r>
              <w:rPr>
                <w:sz w:val="20"/>
              </w:rPr>
              <w:t xml:space="preserve">77/190 </w:t>
            </w:r>
          </w:p>
        </w:tc>
      </w:tr>
      <w:tr w:rsidR="00E0069E">
        <w:trPr>
          <w:trHeight w:val="240"/>
        </w:trPr>
        <w:tc>
          <w:tcPr>
            <w:tcW w:w="0" w:type="auto"/>
            <w:vMerge/>
            <w:tcBorders>
              <w:top w:val="nil"/>
              <w:left w:val="nil"/>
              <w:bottom w:val="single" w:sz="3" w:space="0" w:color="7F7F7F"/>
              <w:right w:val="nil"/>
            </w:tcBorders>
          </w:tcPr>
          <w:p w:rsidR="00E0069E" w:rsidRDefault="00E0069E">
            <w:pPr>
              <w:spacing w:after="160" w:line="259" w:lineRule="auto"/>
              <w:ind w:left="0" w:right="0" w:firstLine="0"/>
              <w:jc w:val="left"/>
            </w:pPr>
          </w:p>
        </w:tc>
        <w:tc>
          <w:tcPr>
            <w:tcW w:w="1496" w:type="dxa"/>
            <w:tcBorders>
              <w:top w:val="single" w:sz="3" w:space="0" w:color="7F7F7F"/>
              <w:left w:val="nil"/>
              <w:bottom w:val="single" w:sz="3" w:space="0" w:color="7F7F7F"/>
              <w:right w:val="nil"/>
            </w:tcBorders>
          </w:tcPr>
          <w:p w:rsidR="00E0069E" w:rsidRDefault="00C37FF7">
            <w:pPr>
              <w:spacing w:after="0" w:line="259" w:lineRule="auto"/>
              <w:ind w:left="340" w:right="0" w:firstLine="0"/>
              <w:jc w:val="left"/>
            </w:pPr>
            <w:r>
              <w:rPr>
                <w:sz w:val="20"/>
              </w:rPr>
              <w:t>2H</w:t>
            </w:r>
            <w:r>
              <w:rPr>
                <w:sz w:val="20"/>
                <w:vertAlign w:val="subscript"/>
              </w:rPr>
              <w:t>2</w:t>
            </w:r>
            <w:r>
              <w:rPr>
                <w:sz w:val="20"/>
              </w:rPr>
              <w:t>P</w:t>
            </w:r>
            <w:r>
              <w:rPr>
                <w:sz w:val="20"/>
                <w:vertAlign w:val="subscript"/>
              </w:rPr>
              <w:t>2</w:t>
            </w:r>
            <w:r>
              <w:rPr>
                <w:sz w:val="20"/>
              </w:rPr>
              <w:t xml:space="preserve">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28" w:right="0" w:firstLine="0"/>
              <w:jc w:val="left"/>
            </w:pPr>
            <w:r>
              <w:rPr>
                <w:sz w:val="20"/>
              </w:rPr>
              <w:t xml:space="preserve">28,77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5" w:firstLine="0"/>
              <w:jc w:val="center"/>
            </w:pPr>
            <w:r>
              <w:rPr>
                <w:sz w:val="20"/>
              </w:rPr>
              <w:t xml:space="preserve">82/285 </w:t>
            </w:r>
          </w:p>
        </w:tc>
      </w:tr>
      <w:tr w:rsidR="00E0069E">
        <w:trPr>
          <w:trHeight w:val="340"/>
        </w:trPr>
        <w:tc>
          <w:tcPr>
            <w:tcW w:w="1820" w:type="dxa"/>
            <w:vMerge w:val="restart"/>
            <w:tcBorders>
              <w:top w:val="single" w:sz="3" w:space="0" w:color="7F7F7F"/>
              <w:left w:val="nil"/>
              <w:bottom w:val="single" w:sz="3" w:space="0" w:color="7F7F7F"/>
              <w:right w:val="nil"/>
            </w:tcBorders>
          </w:tcPr>
          <w:p w:rsidR="00E0069E" w:rsidRDefault="00C37FF7">
            <w:pPr>
              <w:spacing w:after="0" w:line="259" w:lineRule="auto"/>
              <w:ind w:left="5" w:right="0" w:firstLine="0"/>
              <w:jc w:val="center"/>
            </w:pPr>
            <w:proofErr w:type="spellStart"/>
            <w:r>
              <w:rPr>
                <w:b/>
                <w:sz w:val="20"/>
              </w:rPr>
              <w:t>Bliven</w:t>
            </w:r>
            <w:proofErr w:type="spellEnd"/>
            <w:r>
              <w:rPr>
                <w:b/>
                <w:sz w:val="20"/>
              </w:rPr>
              <w:t>-</w:t>
            </w:r>
          </w:p>
          <w:p w:rsidR="00E0069E" w:rsidRDefault="00C37FF7">
            <w:pPr>
              <w:spacing w:after="0" w:line="259" w:lineRule="auto"/>
              <w:ind w:left="108" w:right="0" w:firstLine="0"/>
              <w:jc w:val="left"/>
            </w:pPr>
            <w:proofErr w:type="spellStart"/>
            <w:r>
              <w:rPr>
                <w:b/>
                <w:sz w:val="20"/>
              </w:rPr>
              <w:t>Sizemore</w:t>
            </w:r>
            <w:proofErr w:type="spellEnd"/>
            <w:r>
              <w:rPr>
                <w:b/>
                <w:sz w:val="20"/>
              </w:rPr>
              <w:t xml:space="preserve"> </w:t>
            </w:r>
            <w:r>
              <w:rPr>
                <w:b/>
                <w:i/>
                <w:sz w:val="20"/>
              </w:rPr>
              <w:t>et al</w:t>
            </w:r>
            <w:r>
              <w:rPr>
                <w:sz w:val="20"/>
                <w:vertAlign w:val="superscript"/>
              </w:rPr>
              <w:t>34</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12" w:right="0" w:firstLine="0"/>
              <w:jc w:val="left"/>
            </w:pPr>
            <w:r>
              <w:rPr>
                <w:sz w:val="20"/>
              </w:rPr>
              <w:t xml:space="preserve">3HP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84" w:right="0" w:firstLine="0"/>
              <w:jc w:val="left"/>
            </w:pPr>
            <w:r>
              <w:rPr>
                <w:sz w:val="20"/>
              </w:rPr>
              <w:t xml:space="preserve">0,42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5" w:firstLine="0"/>
              <w:jc w:val="center"/>
            </w:pPr>
            <w:r>
              <w:rPr>
                <w:sz w:val="20"/>
              </w:rPr>
              <w:t xml:space="preserve">15/3.545 </w:t>
            </w:r>
          </w:p>
        </w:tc>
      </w:tr>
      <w:tr w:rsidR="00E0069E">
        <w:trPr>
          <w:trHeight w:val="241"/>
        </w:trPr>
        <w:tc>
          <w:tcPr>
            <w:tcW w:w="0" w:type="auto"/>
            <w:vMerge/>
            <w:tcBorders>
              <w:top w:val="nil"/>
              <w:left w:val="nil"/>
              <w:bottom w:val="single" w:sz="3" w:space="0" w:color="7F7F7F"/>
              <w:right w:val="nil"/>
            </w:tcBorders>
          </w:tcPr>
          <w:p w:rsidR="00E0069E" w:rsidRDefault="00E0069E">
            <w:pPr>
              <w:spacing w:after="160" w:line="259" w:lineRule="auto"/>
              <w:ind w:left="0" w:right="0" w:firstLine="0"/>
              <w:jc w:val="left"/>
            </w:pP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76" w:right="0" w:firstLine="0"/>
              <w:jc w:val="left"/>
            </w:pPr>
            <w:r>
              <w:rPr>
                <w:sz w:val="20"/>
              </w:rPr>
              <w:t xml:space="preserve">9H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84" w:right="0" w:firstLine="0"/>
              <w:jc w:val="left"/>
            </w:pPr>
            <w:r>
              <w:rPr>
                <w:sz w:val="20"/>
              </w:rPr>
              <w:t xml:space="preserve">1,83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5" w:firstLine="0"/>
              <w:jc w:val="center"/>
            </w:pPr>
            <w:r>
              <w:rPr>
                <w:sz w:val="20"/>
              </w:rPr>
              <w:t xml:space="preserve">61/3.317 </w:t>
            </w:r>
          </w:p>
        </w:tc>
      </w:tr>
      <w:tr w:rsidR="00E0069E">
        <w:trPr>
          <w:trHeight w:val="356"/>
        </w:trPr>
        <w:tc>
          <w:tcPr>
            <w:tcW w:w="1820" w:type="dxa"/>
            <w:vMerge w:val="restart"/>
            <w:tcBorders>
              <w:top w:val="single" w:sz="3" w:space="0" w:color="7F7F7F"/>
              <w:left w:val="nil"/>
              <w:bottom w:val="single" w:sz="3" w:space="0" w:color="7F7F7F"/>
              <w:right w:val="nil"/>
            </w:tcBorders>
          </w:tcPr>
          <w:p w:rsidR="00E0069E" w:rsidRDefault="00C37FF7">
            <w:pPr>
              <w:spacing w:after="0" w:line="259" w:lineRule="auto"/>
              <w:ind w:left="0" w:right="0" w:firstLine="0"/>
              <w:jc w:val="center"/>
            </w:pPr>
            <w:r>
              <w:rPr>
                <w:b/>
                <w:sz w:val="20"/>
              </w:rPr>
              <w:t xml:space="preserve">Gray </w:t>
            </w:r>
            <w:r>
              <w:rPr>
                <w:b/>
                <w:i/>
                <w:sz w:val="20"/>
              </w:rPr>
              <w:t>et al</w:t>
            </w:r>
            <w:r>
              <w:rPr>
                <w:sz w:val="20"/>
                <w:vertAlign w:val="superscript"/>
              </w:rPr>
              <w:t>37</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76" w:right="0" w:firstLine="0"/>
              <w:jc w:val="left"/>
            </w:pPr>
            <w:r>
              <w:rPr>
                <w:sz w:val="20"/>
              </w:rPr>
              <w:t xml:space="preserve">9H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568" w:right="0" w:firstLine="0"/>
              <w:jc w:val="left"/>
            </w:pPr>
            <w:r>
              <w:rPr>
                <w:sz w:val="20"/>
              </w:rPr>
              <w:t xml:space="preserve">33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4" w:firstLine="0"/>
              <w:jc w:val="center"/>
            </w:pPr>
            <w:r>
              <w:rPr>
                <w:sz w:val="20"/>
              </w:rPr>
              <w:t xml:space="preserve">24/72 </w:t>
            </w:r>
          </w:p>
        </w:tc>
      </w:tr>
      <w:tr w:rsidR="00E0069E">
        <w:trPr>
          <w:trHeight w:val="240"/>
        </w:trPr>
        <w:tc>
          <w:tcPr>
            <w:tcW w:w="0" w:type="auto"/>
            <w:vMerge/>
            <w:tcBorders>
              <w:top w:val="nil"/>
              <w:left w:val="nil"/>
              <w:bottom w:val="single" w:sz="3" w:space="0" w:color="7F7F7F"/>
              <w:right w:val="nil"/>
            </w:tcBorders>
          </w:tcPr>
          <w:p w:rsidR="00E0069E" w:rsidRDefault="00E0069E">
            <w:pPr>
              <w:spacing w:after="160" w:line="259" w:lineRule="auto"/>
              <w:ind w:left="0" w:right="0" w:firstLine="0"/>
              <w:jc w:val="left"/>
            </w:pP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76" w:right="0" w:firstLine="0"/>
              <w:jc w:val="left"/>
            </w:pPr>
            <w:r>
              <w:rPr>
                <w:sz w:val="20"/>
              </w:rPr>
              <w:t xml:space="preserve">4R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568" w:right="0" w:firstLine="0"/>
              <w:jc w:val="left"/>
            </w:pPr>
            <w:r>
              <w:rPr>
                <w:sz w:val="20"/>
              </w:rPr>
              <w:t xml:space="preserve">23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4" w:firstLine="0"/>
              <w:jc w:val="center"/>
            </w:pPr>
            <w:r>
              <w:rPr>
                <w:sz w:val="20"/>
              </w:rPr>
              <w:t xml:space="preserve">5/22 </w:t>
            </w:r>
          </w:p>
        </w:tc>
      </w:tr>
      <w:tr w:rsidR="00E0069E">
        <w:trPr>
          <w:trHeight w:val="356"/>
        </w:trPr>
        <w:tc>
          <w:tcPr>
            <w:tcW w:w="1820" w:type="dxa"/>
            <w:vMerge w:val="restart"/>
            <w:tcBorders>
              <w:top w:val="single" w:sz="3" w:space="0" w:color="7F7F7F"/>
              <w:left w:val="nil"/>
              <w:bottom w:val="single" w:sz="3" w:space="0" w:color="7F7F7F"/>
              <w:right w:val="nil"/>
            </w:tcBorders>
          </w:tcPr>
          <w:p w:rsidR="00E0069E" w:rsidRDefault="00C37FF7">
            <w:pPr>
              <w:spacing w:after="0" w:line="259" w:lineRule="auto"/>
              <w:ind w:left="4" w:right="0" w:firstLine="0"/>
              <w:jc w:val="center"/>
            </w:pPr>
            <w:r>
              <w:rPr>
                <w:b/>
                <w:sz w:val="20"/>
              </w:rPr>
              <w:t xml:space="preserve">Sun </w:t>
            </w:r>
            <w:r>
              <w:rPr>
                <w:b/>
                <w:i/>
                <w:sz w:val="20"/>
              </w:rPr>
              <w:t>et al</w:t>
            </w:r>
            <w:r>
              <w:rPr>
                <w:sz w:val="20"/>
                <w:vertAlign w:val="superscript"/>
              </w:rPr>
              <w:t>28</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76" w:right="0" w:firstLine="0"/>
              <w:jc w:val="left"/>
            </w:pPr>
            <w:r>
              <w:rPr>
                <w:sz w:val="20"/>
              </w:rPr>
              <w:t xml:space="preserve">9H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84" w:right="0" w:firstLine="0"/>
              <w:jc w:val="left"/>
            </w:pPr>
            <w:r>
              <w:rPr>
                <w:sz w:val="20"/>
              </w:rPr>
              <w:t xml:space="preserve">25,2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5" w:firstLine="0"/>
              <w:jc w:val="center"/>
            </w:pPr>
            <w:r>
              <w:rPr>
                <w:sz w:val="20"/>
              </w:rPr>
              <w:t xml:space="preserve">33/131 </w:t>
            </w:r>
          </w:p>
        </w:tc>
      </w:tr>
      <w:tr w:rsidR="00E0069E">
        <w:trPr>
          <w:trHeight w:val="240"/>
        </w:trPr>
        <w:tc>
          <w:tcPr>
            <w:tcW w:w="0" w:type="auto"/>
            <w:vMerge/>
            <w:tcBorders>
              <w:top w:val="nil"/>
              <w:left w:val="nil"/>
              <w:bottom w:val="single" w:sz="3" w:space="0" w:color="7F7F7F"/>
              <w:right w:val="nil"/>
            </w:tcBorders>
          </w:tcPr>
          <w:p w:rsidR="00E0069E" w:rsidRDefault="00E0069E">
            <w:pPr>
              <w:spacing w:after="160" w:line="259" w:lineRule="auto"/>
              <w:ind w:left="0" w:right="0" w:firstLine="0"/>
              <w:jc w:val="left"/>
            </w:pP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12" w:right="0" w:firstLine="0"/>
              <w:jc w:val="left"/>
            </w:pPr>
            <w:r>
              <w:rPr>
                <w:sz w:val="20"/>
              </w:rPr>
              <w:t xml:space="preserve">3HP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84" w:right="0" w:firstLine="0"/>
              <w:jc w:val="left"/>
            </w:pPr>
            <w:r>
              <w:rPr>
                <w:sz w:val="20"/>
              </w:rPr>
              <w:t xml:space="preserve">49,2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5" w:firstLine="0"/>
              <w:jc w:val="center"/>
            </w:pPr>
            <w:r>
              <w:rPr>
                <w:sz w:val="20"/>
              </w:rPr>
              <w:t xml:space="preserve">65/132 </w:t>
            </w:r>
          </w:p>
        </w:tc>
      </w:tr>
      <w:tr w:rsidR="00E0069E">
        <w:trPr>
          <w:trHeight w:val="356"/>
        </w:trPr>
        <w:tc>
          <w:tcPr>
            <w:tcW w:w="1820" w:type="dxa"/>
            <w:tcBorders>
              <w:top w:val="single" w:sz="3" w:space="0" w:color="7F7F7F"/>
              <w:left w:val="nil"/>
              <w:bottom w:val="single" w:sz="3" w:space="0" w:color="7F7F7F"/>
              <w:right w:val="nil"/>
            </w:tcBorders>
          </w:tcPr>
          <w:p w:rsidR="00E0069E" w:rsidRDefault="00C37FF7">
            <w:pPr>
              <w:spacing w:after="0" w:line="259" w:lineRule="auto"/>
              <w:ind w:left="8" w:right="0" w:firstLine="0"/>
              <w:jc w:val="center"/>
            </w:pPr>
            <w:proofErr w:type="spellStart"/>
            <w:r>
              <w:rPr>
                <w:b/>
                <w:sz w:val="20"/>
              </w:rPr>
              <w:t>Nwana</w:t>
            </w:r>
            <w:proofErr w:type="spellEnd"/>
            <w:r>
              <w:rPr>
                <w:b/>
                <w:sz w:val="20"/>
              </w:rPr>
              <w:t xml:space="preserve"> </w:t>
            </w:r>
            <w:r>
              <w:rPr>
                <w:b/>
                <w:i/>
                <w:sz w:val="20"/>
              </w:rPr>
              <w:t>et al</w:t>
            </w:r>
            <w:r>
              <w:rPr>
                <w:sz w:val="20"/>
                <w:vertAlign w:val="superscript"/>
              </w:rPr>
              <w:t>27</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12" w:right="0" w:firstLine="0"/>
              <w:jc w:val="left"/>
            </w:pPr>
            <w:r>
              <w:rPr>
                <w:sz w:val="20"/>
              </w:rPr>
              <w:t xml:space="preserve">3HP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84" w:right="0" w:firstLine="0"/>
              <w:jc w:val="left"/>
            </w:pPr>
            <w:r>
              <w:rPr>
                <w:sz w:val="20"/>
              </w:rPr>
              <w:t xml:space="preserve">40,7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5" w:firstLine="0"/>
              <w:jc w:val="center"/>
            </w:pPr>
            <w:r>
              <w:rPr>
                <w:sz w:val="20"/>
              </w:rPr>
              <w:t xml:space="preserve">160/393 </w:t>
            </w:r>
          </w:p>
        </w:tc>
      </w:tr>
      <w:tr w:rsidR="00E0069E">
        <w:trPr>
          <w:trHeight w:val="352"/>
        </w:trPr>
        <w:tc>
          <w:tcPr>
            <w:tcW w:w="1820" w:type="dxa"/>
            <w:tcBorders>
              <w:top w:val="single" w:sz="3" w:space="0" w:color="7F7F7F"/>
              <w:left w:val="nil"/>
              <w:bottom w:val="single" w:sz="3" w:space="0" w:color="7F7F7F"/>
              <w:right w:val="nil"/>
            </w:tcBorders>
          </w:tcPr>
          <w:p w:rsidR="00E0069E" w:rsidRDefault="00C37FF7">
            <w:pPr>
              <w:spacing w:after="0" w:line="259" w:lineRule="auto"/>
              <w:ind w:left="8" w:right="0" w:firstLine="0"/>
              <w:jc w:val="center"/>
            </w:pPr>
            <w:r>
              <w:rPr>
                <w:b/>
                <w:sz w:val="20"/>
              </w:rPr>
              <w:t xml:space="preserve">Lopes </w:t>
            </w:r>
            <w:r>
              <w:rPr>
                <w:b/>
                <w:i/>
                <w:sz w:val="20"/>
              </w:rPr>
              <w:t>et al</w:t>
            </w:r>
            <w:r>
              <w:rPr>
                <w:sz w:val="20"/>
                <w:vertAlign w:val="superscript"/>
              </w:rPr>
              <w:t>45</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76" w:right="0" w:firstLine="0"/>
              <w:jc w:val="left"/>
            </w:pPr>
            <w:r>
              <w:rPr>
                <w:sz w:val="20"/>
              </w:rPr>
              <w:t xml:space="preserve">9H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84" w:right="0" w:firstLine="0"/>
              <w:jc w:val="left"/>
            </w:pPr>
            <w:r>
              <w:rPr>
                <w:sz w:val="20"/>
              </w:rPr>
              <w:t xml:space="preserve">11,1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4" w:firstLine="0"/>
              <w:jc w:val="center"/>
            </w:pPr>
            <w:r>
              <w:rPr>
                <w:sz w:val="20"/>
              </w:rPr>
              <w:t xml:space="preserve">5/45 </w:t>
            </w:r>
          </w:p>
        </w:tc>
      </w:tr>
      <w:tr w:rsidR="00E0069E">
        <w:trPr>
          <w:trHeight w:val="344"/>
        </w:trPr>
        <w:tc>
          <w:tcPr>
            <w:tcW w:w="1820" w:type="dxa"/>
            <w:tcBorders>
              <w:top w:val="single" w:sz="3" w:space="0" w:color="7F7F7F"/>
              <w:left w:val="nil"/>
              <w:bottom w:val="single" w:sz="3" w:space="0" w:color="7F7F7F"/>
              <w:right w:val="nil"/>
            </w:tcBorders>
          </w:tcPr>
          <w:p w:rsidR="00E0069E" w:rsidRDefault="00C37FF7">
            <w:pPr>
              <w:spacing w:after="0" w:line="259" w:lineRule="auto"/>
              <w:ind w:left="164" w:right="0" w:firstLine="0"/>
              <w:jc w:val="left"/>
            </w:pPr>
            <w:proofErr w:type="spellStart"/>
            <w:r>
              <w:rPr>
                <w:b/>
                <w:sz w:val="20"/>
              </w:rPr>
              <w:t>Belknap</w:t>
            </w:r>
            <w:proofErr w:type="spellEnd"/>
            <w:r>
              <w:rPr>
                <w:b/>
                <w:sz w:val="20"/>
              </w:rPr>
              <w:t xml:space="preserve"> </w:t>
            </w:r>
            <w:r>
              <w:rPr>
                <w:b/>
                <w:i/>
                <w:sz w:val="20"/>
              </w:rPr>
              <w:t>et al</w:t>
            </w:r>
            <w:r>
              <w:rPr>
                <w:sz w:val="20"/>
                <w:vertAlign w:val="superscript"/>
              </w:rPr>
              <w:t>39</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12" w:right="0" w:firstLine="0"/>
              <w:jc w:val="left"/>
            </w:pPr>
            <w:r>
              <w:rPr>
                <w:sz w:val="20"/>
              </w:rPr>
              <w:t xml:space="preserve">3HP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28" w:right="0" w:firstLine="0"/>
              <w:jc w:val="left"/>
            </w:pPr>
            <w:r>
              <w:rPr>
                <w:sz w:val="20"/>
              </w:rPr>
              <w:t xml:space="preserve">17,36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0" w:firstLine="0"/>
              <w:jc w:val="center"/>
            </w:pPr>
            <w:r>
              <w:rPr>
                <w:sz w:val="20"/>
              </w:rPr>
              <w:t xml:space="preserve">174/1.002 </w:t>
            </w:r>
          </w:p>
        </w:tc>
      </w:tr>
      <w:tr w:rsidR="00E0069E">
        <w:trPr>
          <w:trHeight w:val="352"/>
        </w:trPr>
        <w:tc>
          <w:tcPr>
            <w:tcW w:w="1820" w:type="dxa"/>
            <w:vMerge w:val="restart"/>
            <w:tcBorders>
              <w:top w:val="single" w:sz="3" w:space="0" w:color="7F7F7F"/>
              <w:left w:val="nil"/>
              <w:bottom w:val="single" w:sz="3" w:space="0" w:color="7F7F7F"/>
              <w:right w:val="nil"/>
            </w:tcBorders>
          </w:tcPr>
          <w:p w:rsidR="00E0069E" w:rsidRDefault="00C37FF7">
            <w:pPr>
              <w:spacing w:after="0" w:line="259" w:lineRule="auto"/>
              <w:ind w:left="4" w:right="0" w:firstLine="0"/>
              <w:jc w:val="center"/>
            </w:pPr>
            <w:proofErr w:type="spellStart"/>
            <w:r>
              <w:rPr>
                <w:b/>
                <w:sz w:val="20"/>
              </w:rPr>
              <w:t>Diallo</w:t>
            </w:r>
            <w:proofErr w:type="spellEnd"/>
            <w:r>
              <w:rPr>
                <w:b/>
                <w:sz w:val="20"/>
              </w:rPr>
              <w:t xml:space="preserve"> </w:t>
            </w:r>
            <w:r>
              <w:rPr>
                <w:b/>
                <w:i/>
                <w:sz w:val="20"/>
              </w:rPr>
              <w:t>et al</w:t>
            </w:r>
            <w:r>
              <w:rPr>
                <w:sz w:val="20"/>
                <w:vertAlign w:val="superscript"/>
              </w:rPr>
              <w:t>36</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76" w:right="0" w:firstLine="0"/>
              <w:jc w:val="left"/>
            </w:pPr>
            <w:r>
              <w:rPr>
                <w:sz w:val="20"/>
              </w:rPr>
              <w:t xml:space="preserve">9H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84" w:right="0" w:firstLine="0"/>
              <w:jc w:val="left"/>
            </w:pPr>
            <w:r>
              <w:rPr>
                <w:sz w:val="20"/>
              </w:rPr>
              <w:t xml:space="preserve">12,8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5" w:firstLine="0"/>
              <w:jc w:val="center"/>
            </w:pPr>
            <w:r>
              <w:rPr>
                <w:sz w:val="20"/>
              </w:rPr>
              <w:t xml:space="preserve">52/407 </w:t>
            </w:r>
          </w:p>
        </w:tc>
      </w:tr>
      <w:tr w:rsidR="00E0069E">
        <w:trPr>
          <w:trHeight w:val="240"/>
        </w:trPr>
        <w:tc>
          <w:tcPr>
            <w:tcW w:w="0" w:type="auto"/>
            <w:vMerge/>
            <w:tcBorders>
              <w:top w:val="nil"/>
              <w:left w:val="nil"/>
              <w:bottom w:val="single" w:sz="3" w:space="0" w:color="7F7F7F"/>
              <w:right w:val="nil"/>
            </w:tcBorders>
          </w:tcPr>
          <w:p w:rsidR="00E0069E" w:rsidRDefault="00E0069E">
            <w:pPr>
              <w:spacing w:after="160" w:line="259" w:lineRule="auto"/>
              <w:ind w:left="0" w:right="0" w:firstLine="0"/>
              <w:jc w:val="left"/>
            </w:pP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76" w:right="0" w:firstLine="0"/>
              <w:jc w:val="left"/>
            </w:pPr>
            <w:r>
              <w:rPr>
                <w:sz w:val="20"/>
              </w:rPr>
              <w:t xml:space="preserve">4R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540" w:right="0" w:firstLine="0"/>
              <w:jc w:val="left"/>
            </w:pPr>
            <w:r>
              <w:rPr>
                <w:sz w:val="20"/>
              </w:rPr>
              <w:t xml:space="preserve">4,7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5" w:firstLine="0"/>
              <w:jc w:val="center"/>
            </w:pPr>
            <w:r>
              <w:rPr>
                <w:sz w:val="20"/>
              </w:rPr>
              <w:t xml:space="preserve">20/422 </w:t>
            </w:r>
          </w:p>
        </w:tc>
      </w:tr>
      <w:tr w:rsidR="00E0069E">
        <w:trPr>
          <w:trHeight w:val="345"/>
        </w:trPr>
        <w:tc>
          <w:tcPr>
            <w:tcW w:w="1820" w:type="dxa"/>
            <w:tcBorders>
              <w:top w:val="single" w:sz="3" w:space="0" w:color="7F7F7F"/>
              <w:left w:val="nil"/>
              <w:bottom w:val="single" w:sz="3" w:space="0" w:color="7F7F7F"/>
              <w:right w:val="nil"/>
            </w:tcBorders>
          </w:tcPr>
          <w:p w:rsidR="00E0069E" w:rsidRDefault="00C37FF7">
            <w:pPr>
              <w:spacing w:after="0" w:line="259" w:lineRule="auto"/>
              <w:ind w:left="8" w:right="0" w:firstLine="0"/>
              <w:jc w:val="center"/>
            </w:pPr>
            <w:proofErr w:type="spellStart"/>
            <w:r>
              <w:rPr>
                <w:b/>
                <w:sz w:val="20"/>
              </w:rPr>
              <w:t>Valls</w:t>
            </w:r>
            <w:proofErr w:type="spellEnd"/>
            <w:r>
              <w:rPr>
                <w:b/>
                <w:sz w:val="20"/>
              </w:rPr>
              <w:t xml:space="preserve"> </w:t>
            </w:r>
            <w:r>
              <w:rPr>
                <w:b/>
                <w:i/>
                <w:sz w:val="20"/>
              </w:rPr>
              <w:t>et al</w:t>
            </w:r>
            <w:r>
              <w:rPr>
                <w:sz w:val="20"/>
                <w:vertAlign w:val="superscript"/>
              </w:rPr>
              <w:t>38</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12" w:right="0" w:firstLine="0"/>
              <w:jc w:val="left"/>
            </w:pPr>
            <w:r>
              <w:rPr>
                <w:sz w:val="20"/>
              </w:rPr>
              <w:t xml:space="preserve">3HP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84" w:right="0" w:firstLine="0"/>
              <w:jc w:val="left"/>
            </w:pPr>
            <w:r>
              <w:rPr>
                <w:sz w:val="20"/>
              </w:rPr>
              <w:t xml:space="preserve">10,1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4" w:firstLine="0"/>
              <w:jc w:val="center"/>
            </w:pPr>
            <w:r>
              <w:rPr>
                <w:sz w:val="20"/>
              </w:rPr>
              <w:t xml:space="preserve">7/69 </w:t>
            </w:r>
          </w:p>
        </w:tc>
      </w:tr>
      <w:tr w:rsidR="00E0069E">
        <w:trPr>
          <w:trHeight w:val="352"/>
        </w:trPr>
        <w:tc>
          <w:tcPr>
            <w:tcW w:w="1820" w:type="dxa"/>
            <w:tcBorders>
              <w:top w:val="single" w:sz="3" w:space="0" w:color="7F7F7F"/>
              <w:left w:val="nil"/>
              <w:bottom w:val="single" w:sz="3" w:space="0" w:color="7F7F7F"/>
              <w:right w:val="nil"/>
            </w:tcBorders>
          </w:tcPr>
          <w:p w:rsidR="00E0069E" w:rsidRDefault="00C37FF7">
            <w:pPr>
              <w:spacing w:after="0" w:line="259" w:lineRule="auto"/>
              <w:ind w:left="0" w:right="0" w:firstLine="0"/>
              <w:jc w:val="center"/>
            </w:pPr>
            <w:r>
              <w:rPr>
                <w:b/>
                <w:sz w:val="20"/>
              </w:rPr>
              <w:t xml:space="preserve">Chang </w:t>
            </w:r>
            <w:r>
              <w:rPr>
                <w:b/>
                <w:i/>
                <w:sz w:val="20"/>
              </w:rPr>
              <w:t>et al</w:t>
            </w:r>
            <w:r>
              <w:rPr>
                <w:sz w:val="20"/>
                <w:vertAlign w:val="superscript"/>
              </w:rPr>
              <w:t>23</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76" w:right="0" w:firstLine="0"/>
              <w:jc w:val="left"/>
            </w:pPr>
            <w:r>
              <w:rPr>
                <w:sz w:val="20"/>
              </w:rPr>
              <w:t xml:space="preserve">9H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84" w:right="0" w:firstLine="0"/>
              <w:jc w:val="left"/>
            </w:pPr>
            <w:r>
              <w:rPr>
                <w:sz w:val="20"/>
              </w:rPr>
              <w:t xml:space="preserve">49,7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0" w:firstLine="0"/>
              <w:jc w:val="center"/>
            </w:pPr>
            <w:r>
              <w:rPr>
                <w:sz w:val="20"/>
              </w:rPr>
              <w:t xml:space="preserve">790/1.587 </w:t>
            </w:r>
          </w:p>
        </w:tc>
      </w:tr>
      <w:tr w:rsidR="00E0069E">
        <w:trPr>
          <w:trHeight w:val="344"/>
        </w:trPr>
        <w:tc>
          <w:tcPr>
            <w:tcW w:w="1820" w:type="dxa"/>
            <w:tcBorders>
              <w:top w:val="single" w:sz="3" w:space="0" w:color="7F7F7F"/>
              <w:left w:val="nil"/>
              <w:bottom w:val="single" w:sz="3" w:space="0" w:color="7F7F7F"/>
              <w:right w:val="nil"/>
            </w:tcBorders>
          </w:tcPr>
          <w:p w:rsidR="00E0069E" w:rsidRDefault="00C37FF7">
            <w:pPr>
              <w:spacing w:after="0" w:line="259" w:lineRule="auto"/>
              <w:ind w:left="4" w:right="0" w:firstLine="0"/>
              <w:jc w:val="center"/>
            </w:pPr>
            <w:proofErr w:type="spellStart"/>
            <w:r>
              <w:rPr>
                <w:b/>
                <w:sz w:val="20"/>
              </w:rPr>
              <w:t>Chung</w:t>
            </w:r>
            <w:proofErr w:type="spellEnd"/>
            <w:r>
              <w:rPr>
                <w:b/>
                <w:sz w:val="20"/>
              </w:rPr>
              <w:t xml:space="preserve"> </w:t>
            </w:r>
            <w:r>
              <w:rPr>
                <w:b/>
                <w:i/>
                <w:sz w:val="20"/>
              </w:rPr>
              <w:t>et al</w:t>
            </w:r>
            <w:r>
              <w:rPr>
                <w:sz w:val="20"/>
                <w:vertAlign w:val="superscript"/>
              </w:rPr>
              <w:t>33</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76" w:right="0" w:firstLine="0"/>
              <w:jc w:val="left"/>
            </w:pPr>
            <w:r>
              <w:rPr>
                <w:sz w:val="20"/>
              </w:rPr>
              <w:t xml:space="preserve">9H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484" w:right="0" w:firstLine="0"/>
              <w:jc w:val="left"/>
            </w:pPr>
            <w:r>
              <w:rPr>
                <w:sz w:val="20"/>
              </w:rPr>
              <w:t xml:space="preserve">61,4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5" w:firstLine="0"/>
              <w:jc w:val="center"/>
            </w:pPr>
            <w:r>
              <w:rPr>
                <w:sz w:val="20"/>
              </w:rPr>
              <w:t xml:space="preserve">70/114 </w:t>
            </w:r>
          </w:p>
        </w:tc>
      </w:tr>
      <w:tr w:rsidR="00E0069E">
        <w:trPr>
          <w:trHeight w:val="352"/>
        </w:trPr>
        <w:tc>
          <w:tcPr>
            <w:tcW w:w="1820" w:type="dxa"/>
            <w:vMerge w:val="restart"/>
            <w:tcBorders>
              <w:top w:val="single" w:sz="3" w:space="0" w:color="7F7F7F"/>
              <w:left w:val="nil"/>
              <w:bottom w:val="single" w:sz="3" w:space="0" w:color="7F7F7F"/>
              <w:right w:val="nil"/>
            </w:tcBorders>
          </w:tcPr>
          <w:p w:rsidR="00E0069E" w:rsidRDefault="00C37FF7">
            <w:pPr>
              <w:spacing w:after="0" w:line="259" w:lineRule="auto"/>
              <w:ind w:left="8" w:right="0" w:firstLine="0"/>
              <w:jc w:val="center"/>
            </w:pPr>
            <w:proofErr w:type="spellStart"/>
            <w:r>
              <w:rPr>
                <w:b/>
                <w:sz w:val="20"/>
              </w:rPr>
              <w:t>Lin</w:t>
            </w:r>
            <w:proofErr w:type="spellEnd"/>
            <w:r>
              <w:rPr>
                <w:b/>
                <w:sz w:val="20"/>
              </w:rPr>
              <w:t xml:space="preserve"> </w:t>
            </w:r>
            <w:r>
              <w:rPr>
                <w:b/>
                <w:i/>
                <w:sz w:val="20"/>
              </w:rPr>
              <w:t>et al</w:t>
            </w:r>
            <w:r>
              <w:rPr>
                <w:b/>
                <w:sz w:val="20"/>
              </w:rPr>
              <w:t xml:space="preserve"> </w:t>
            </w:r>
            <w:r>
              <w:rPr>
                <w:sz w:val="20"/>
                <w:vertAlign w:val="superscript"/>
              </w:rPr>
              <w:t>30</w:t>
            </w:r>
            <w:r>
              <w:rPr>
                <w:b/>
                <w:sz w:val="20"/>
              </w:rPr>
              <w:t xml:space="preserve"> </w:t>
            </w: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76" w:right="0" w:firstLine="0"/>
              <w:jc w:val="left"/>
            </w:pPr>
            <w:r>
              <w:rPr>
                <w:sz w:val="20"/>
              </w:rPr>
              <w:t xml:space="preserve">9H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568" w:right="0" w:firstLine="0"/>
              <w:jc w:val="left"/>
            </w:pPr>
            <w:r>
              <w:rPr>
                <w:sz w:val="20"/>
              </w:rPr>
              <w:t xml:space="preserve">90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4" w:firstLine="0"/>
              <w:jc w:val="center"/>
            </w:pPr>
            <w:r>
              <w:rPr>
                <w:sz w:val="20"/>
              </w:rPr>
              <w:t xml:space="preserve">37/41 </w:t>
            </w:r>
          </w:p>
        </w:tc>
      </w:tr>
      <w:tr w:rsidR="00E0069E">
        <w:trPr>
          <w:trHeight w:val="244"/>
        </w:trPr>
        <w:tc>
          <w:tcPr>
            <w:tcW w:w="0" w:type="auto"/>
            <w:vMerge/>
            <w:tcBorders>
              <w:top w:val="nil"/>
              <w:left w:val="nil"/>
              <w:bottom w:val="single" w:sz="3" w:space="0" w:color="7F7F7F"/>
              <w:right w:val="nil"/>
            </w:tcBorders>
          </w:tcPr>
          <w:p w:rsidR="00E0069E" w:rsidRDefault="00E0069E">
            <w:pPr>
              <w:spacing w:after="160" w:line="259" w:lineRule="auto"/>
              <w:ind w:left="0" w:right="0" w:firstLine="0"/>
              <w:jc w:val="left"/>
            </w:pPr>
          </w:p>
        </w:tc>
        <w:tc>
          <w:tcPr>
            <w:tcW w:w="1496" w:type="dxa"/>
            <w:tcBorders>
              <w:top w:val="single" w:sz="3" w:space="0" w:color="7F7F7F"/>
              <w:left w:val="nil"/>
              <w:bottom w:val="single" w:sz="3" w:space="0" w:color="7F7F7F"/>
              <w:right w:val="nil"/>
            </w:tcBorders>
          </w:tcPr>
          <w:p w:rsidR="00E0069E" w:rsidRDefault="00C37FF7">
            <w:pPr>
              <w:spacing w:after="0" w:line="259" w:lineRule="auto"/>
              <w:ind w:left="412" w:right="0" w:firstLine="0"/>
              <w:jc w:val="left"/>
            </w:pPr>
            <w:r>
              <w:rPr>
                <w:sz w:val="20"/>
              </w:rPr>
              <w:t xml:space="preserve">3HP </w:t>
            </w:r>
          </w:p>
        </w:tc>
        <w:tc>
          <w:tcPr>
            <w:tcW w:w="1744" w:type="dxa"/>
            <w:tcBorders>
              <w:top w:val="single" w:sz="3" w:space="0" w:color="7F7F7F"/>
              <w:left w:val="nil"/>
              <w:bottom w:val="single" w:sz="3" w:space="0" w:color="7F7F7F"/>
              <w:right w:val="nil"/>
            </w:tcBorders>
          </w:tcPr>
          <w:p w:rsidR="00E0069E" w:rsidRDefault="00C37FF7">
            <w:pPr>
              <w:spacing w:after="0" w:line="259" w:lineRule="auto"/>
              <w:ind w:left="568" w:right="0" w:firstLine="0"/>
              <w:jc w:val="left"/>
            </w:pPr>
            <w:r>
              <w:rPr>
                <w:sz w:val="20"/>
              </w:rPr>
              <w:t xml:space="preserve">96 </w:t>
            </w:r>
          </w:p>
        </w:tc>
        <w:tc>
          <w:tcPr>
            <w:tcW w:w="3649" w:type="dxa"/>
            <w:tcBorders>
              <w:top w:val="single" w:sz="3" w:space="0" w:color="7F7F7F"/>
              <w:left w:val="nil"/>
              <w:bottom w:val="single" w:sz="3" w:space="0" w:color="7F7F7F"/>
              <w:right w:val="nil"/>
            </w:tcBorders>
          </w:tcPr>
          <w:p w:rsidR="00E0069E" w:rsidRDefault="00C37FF7">
            <w:pPr>
              <w:spacing w:after="0" w:line="259" w:lineRule="auto"/>
              <w:ind w:left="0" w:right="94" w:firstLine="0"/>
              <w:jc w:val="center"/>
            </w:pPr>
            <w:r>
              <w:rPr>
                <w:sz w:val="20"/>
              </w:rPr>
              <w:t xml:space="preserve">48/50 </w:t>
            </w:r>
          </w:p>
        </w:tc>
      </w:tr>
    </w:tbl>
    <w:p w:rsidR="00E0069E" w:rsidRDefault="00C37FF7">
      <w:pPr>
        <w:spacing w:after="96" w:line="259" w:lineRule="auto"/>
        <w:ind w:left="854" w:right="0" w:firstLine="0"/>
        <w:jc w:val="center"/>
      </w:pPr>
      <w:r>
        <w:rPr>
          <w:b/>
          <w:sz w:val="20"/>
        </w:rPr>
        <w:t xml:space="preserve"> </w:t>
      </w:r>
    </w:p>
    <w:p w:rsidR="00E0069E" w:rsidRDefault="00C37FF7">
      <w:pPr>
        <w:spacing w:after="0" w:line="259" w:lineRule="auto"/>
        <w:ind w:left="854" w:right="0" w:firstLine="0"/>
        <w:jc w:val="center"/>
      </w:pPr>
      <w:r>
        <w:rPr>
          <w:b/>
          <w:sz w:val="20"/>
        </w:rPr>
        <w:lastRenderedPageBreak/>
        <w:t xml:space="preserve"> </w:t>
      </w:r>
    </w:p>
    <w:p w:rsidR="00E0069E" w:rsidRDefault="00C37FF7">
      <w:pPr>
        <w:spacing w:after="16" w:line="259" w:lineRule="auto"/>
        <w:ind w:left="854" w:right="0" w:firstLine="0"/>
        <w:jc w:val="center"/>
      </w:pPr>
      <w:r>
        <w:rPr>
          <w:b/>
          <w:sz w:val="20"/>
        </w:rPr>
        <w:t xml:space="preserve"> </w:t>
      </w:r>
    </w:p>
    <w:p w:rsidR="00E0069E" w:rsidRDefault="00C37FF7">
      <w:pPr>
        <w:spacing w:after="0" w:line="259" w:lineRule="auto"/>
        <w:ind w:left="798" w:right="0"/>
      </w:pPr>
      <w:r>
        <w:rPr>
          <w:b/>
        </w:rPr>
        <w:t>Tabela 2 –</w:t>
      </w:r>
      <w:r>
        <w:rPr>
          <w:vertAlign w:val="subscript"/>
        </w:rPr>
        <w:t xml:space="preserve"> </w:t>
      </w:r>
      <w:r>
        <w:t xml:space="preserve">Frequência de eventos adversos de acordo com os esquemas de tratamentos utilizados por cada estudo. </w:t>
      </w:r>
    </w:p>
    <w:tbl>
      <w:tblPr>
        <w:tblStyle w:val="TableGrid"/>
        <w:tblW w:w="8646" w:type="dxa"/>
        <w:tblInd w:w="2685" w:type="dxa"/>
        <w:tblCellMar>
          <w:top w:w="0" w:type="dxa"/>
          <w:left w:w="0" w:type="dxa"/>
          <w:bottom w:w="0" w:type="dxa"/>
          <w:right w:w="41" w:type="dxa"/>
        </w:tblCellMar>
        <w:tblLook w:val="04A0" w:firstRow="1" w:lastRow="0" w:firstColumn="1" w:lastColumn="0" w:noHBand="0" w:noVBand="1"/>
      </w:tblPr>
      <w:tblGrid>
        <w:gridCol w:w="1817"/>
        <w:gridCol w:w="1464"/>
        <w:gridCol w:w="1728"/>
        <w:gridCol w:w="3637"/>
      </w:tblGrid>
      <w:tr w:rsidR="00E0069E">
        <w:trPr>
          <w:trHeight w:val="273"/>
        </w:trPr>
        <w:tc>
          <w:tcPr>
            <w:tcW w:w="1816" w:type="dxa"/>
            <w:tcBorders>
              <w:top w:val="nil"/>
              <w:left w:val="nil"/>
              <w:bottom w:val="single" w:sz="3" w:space="0" w:color="7F7F7F"/>
              <w:right w:val="nil"/>
            </w:tcBorders>
          </w:tcPr>
          <w:p w:rsidR="00E0069E" w:rsidRDefault="00C37FF7">
            <w:pPr>
              <w:spacing w:after="0" w:line="259" w:lineRule="auto"/>
              <w:ind w:left="96" w:right="0" w:firstLine="0"/>
              <w:jc w:val="left"/>
            </w:pPr>
            <w:r>
              <w:t xml:space="preserve"> </w:t>
            </w:r>
          </w:p>
        </w:tc>
        <w:tc>
          <w:tcPr>
            <w:tcW w:w="1464" w:type="dxa"/>
            <w:tcBorders>
              <w:top w:val="nil"/>
              <w:left w:val="nil"/>
              <w:bottom w:val="single" w:sz="3" w:space="0" w:color="7F7F7F"/>
              <w:right w:val="nil"/>
            </w:tcBorders>
          </w:tcPr>
          <w:p w:rsidR="00E0069E" w:rsidRDefault="00C37FF7">
            <w:pPr>
              <w:spacing w:after="0" w:line="259" w:lineRule="auto"/>
              <w:ind w:left="92" w:right="0" w:firstLine="0"/>
              <w:jc w:val="left"/>
            </w:pPr>
            <w:r>
              <w:t xml:space="preserve"> </w:t>
            </w:r>
            <w:r>
              <w:tab/>
              <w:t xml:space="preserve"> </w:t>
            </w:r>
            <w:r>
              <w:tab/>
              <w:t xml:space="preserve"> </w:t>
            </w:r>
          </w:p>
        </w:tc>
        <w:tc>
          <w:tcPr>
            <w:tcW w:w="1728" w:type="dxa"/>
            <w:tcBorders>
              <w:top w:val="nil"/>
              <w:left w:val="nil"/>
              <w:bottom w:val="single" w:sz="3" w:space="0" w:color="7F7F7F"/>
              <w:right w:val="nil"/>
            </w:tcBorders>
          </w:tcPr>
          <w:p w:rsidR="00E0069E" w:rsidRDefault="00C37FF7">
            <w:pPr>
              <w:spacing w:after="0" w:line="259" w:lineRule="auto"/>
              <w:ind w:left="0" w:right="68" w:firstLine="0"/>
              <w:jc w:val="center"/>
            </w:pPr>
            <w:r>
              <w:t xml:space="preserve"> </w:t>
            </w:r>
            <w:r>
              <w:tab/>
              <w:t xml:space="preserve"> </w:t>
            </w:r>
          </w:p>
        </w:tc>
        <w:tc>
          <w:tcPr>
            <w:tcW w:w="3637" w:type="dxa"/>
            <w:tcBorders>
              <w:top w:val="nil"/>
              <w:left w:val="nil"/>
              <w:bottom w:val="single" w:sz="3" w:space="0" w:color="7F7F7F"/>
              <w:right w:val="nil"/>
            </w:tcBorders>
          </w:tcPr>
          <w:p w:rsidR="00E0069E" w:rsidRDefault="00C37FF7">
            <w:pPr>
              <w:tabs>
                <w:tab w:val="center" w:pos="848"/>
                <w:tab w:val="center" w:pos="1568"/>
                <w:tab w:val="right" w:pos="3596"/>
              </w:tabs>
              <w:spacing w:after="0" w:line="259" w:lineRule="auto"/>
              <w:ind w:left="0" w:right="0" w:firstLine="0"/>
              <w:jc w:val="left"/>
            </w:pPr>
            <w:r>
              <w:t xml:space="preserve"> </w:t>
            </w:r>
            <w:r>
              <w:tab/>
              <w:t xml:space="preserve"> </w:t>
            </w:r>
            <w:r>
              <w:tab/>
              <w:t xml:space="preserve"> </w:t>
            </w:r>
            <w:r>
              <w:tab/>
              <w:t xml:space="preserve">(conclusão) </w:t>
            </w:r>
          </w:p>
        </w:tc>
      </w:tr>
      <w:tr w:rsidR="00E0069E">
        <w:trPr>
          <w:trHeight w:val="700"/>
        </w:trPr>
        <w:tc>
          <w:tcPr>
            <w:tcW w:w="1816" w:type="dxa"/>
            <w:tcBorders>
              <w:top w:val="single" w:sz="3" w:space="0" w:color="7F7F7F"/>
              <w:left w:val="nil"/>
              <w:bottom w:val="single" w:sz="3" w:space="0" w:color="7F7F7F"/>
              <w:right w:val="nil"/>
            </w:tcBorders>
          </w:tcPr>
          <w:p w:rsidR="00E0069E" w:rsidRDefault="00C37FF7">
            <w:pPr>
              <w:spacing w:after="0" w:line="259" w:lineRule="auto"/>
              <w:ind w:left="0" w:right="81" w:firstLine="0"/>
              <w:jc w:val="center"/>
            </w:pPr>
            <w:r>
              <w:rPr>
                <w:b/>
                <w:sz w:val="20"/>
              </w:rPr>
              <w:t xml:space="preserve">Estudos </w:t>
            </w:r>
          </w:p>
        </w:tc>
        <w:tc>
          <w:tcPr>
            <w:tcW w:w="1464" w:type="dxa"/>
            <w:tcBorders>
              <w:top w:val="single" w:sz="3" w:space="0" w:color="7F7F7F"/>
              <w:left w:val="nil"/>
              <w:bottom w:val="single" w:sz="3" w:space="0" w:color="7F7F7F"/>
              <w:right w:val="nil"/>
            </w:tcBorders>
          </w:tcPr>
          <w:p w:rsidR="00E0069E" w:rsidRDefault="00C37FF7">
            <w:pPr>
              <w:spacing w:after="0" w:line="259" w:lineRule="auto"/>
              <w:ind w:left="72" w:right="0" w:hanging="72"/>
              <w:jc w:val="left"/>
            </w:pPr>
            <w:r>
              <w:rPr>
                <w:b/>
                <w:sz w:val="20"/>
              </w:rPr>
              <w:t xml:space="preserve">Esquema de tratamento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360" w:right="0" w:hanging="360"/>
            </w:pPr>
            <w:r>
              <w:rPr>
                <w:b/>
                <w:sz w:val="20"/>
              </w:rPr>
              <w:t xml:space="preserve">Frequência de EA (%) </w:t>
            </w:r>
          </w:p>
        </w:tc>
        <w:tc>
          <w:tcPr>
            <w:tcW w:w="3637" w:type="dxa"/>
            <w:tcBorders>
              <w:top w:val="single" w:sz="3" w:space="0" w:color="7F7F7F"/>
              <w:left w:val="nil"/>
              <w:bottom w:val="single" w:sz="3" w:space="0" w:color="7F7F7F"/>
              <w:right w:val="nil"/>
            </w:tcBorders>
          </w:tcPr>
          <w:p w:rsidR="00E0069E" w:rsidRDefault="00C37FF7">
            <w:pPr>
              <w:spacing w:after="4" w:line="238" w:lineRule="auto"/>
              <w:ind w:left="292" w:right="0" w:hanging="292"/>
              <w:jc w:val="left"/>
            </w:pPr>
            <w:r>
              <w:rPr>
                <w:b/>
                <w:sz w:val="20"/>
              </w:rPr>
              <w:t xml:space="preserve">n de pessoas que apresentaram EA/ </w:t>
            </w:r>
            <w:r>
              <w:rPr>
                <w:b/>
                <w:sz w:val="20"/>
              </w:rPr>
              <w:t xml:space="preserve">n de pessoas que utilizaram o </w:t>
            </w:r>
          </w:p>
          <w:p w:rsidR="00E0069E" w:rsidRDefault="00C37FF7">
            <w:pPr>
              <w:spacing w:after="0" w:line="259" w:lineRule="auto"/>
              <w:ind w:left="0" w:right="157" w:firstLine="0"/>
              <w:jc w:val="center"/>
            </w:pPr>
            <w:r>
              <w:rPr>
                <w:b/>
                <w:sz w:val="20"/>
              </w:rPr>
              <w:t xml:space="preserve">esquema </w:t>
            </w:r>
          </w:p>
        </w:tc>
      </w:tr>
      <w:tr w:rsidR="00E0069E">
        <w:trPr>
          <w:trHeight w:val="240"/>
        </w:trPr>
        <w:tc>
          <w:tcPr>
            <w:tcW w:w="1816" w:type="dxa"/>
            <w:tcBorders>
              <w:top w:val="single" w:sz="3" w:space="0" w:color="7F7F7F"/>
              <w:left w:val="nil"/>
              <w:bottom w:val="single" w:sz="3" w:space="0" w:color="7F7F7F"/>
              <w:right w:val="nil"/>
            </w:tcBorders>
          </w:tcPr>
          <w:p w:rsidR="00E0069E" w:rsidRDefault="00C37FF7">
            <w:pPr>
              <w:spacing w:after="0" w:line="259" w:lineRule="auto"/>
              <w:ind w:left="0" w:right="74" w:firstLine="0"/>
              <w:jc w:val="center"/>
            </w:pPr>
            <w:r>
              <w:rPr>
                <w:b/>
                <w:sz w:val="20"/>
              </w:rPr>
              <w:t xml:space="preserve">Lee </w:t>
            </w:r>
            <w:r>
              <w:rPr>
                <w:b/>
                <w:i/>
                <w:sz w:val="20"/>
              </w:rPr>
              <w:t>et al</w:t>
            </w:r>
            <w:r>
              <w:rPr>
                <w:sz w:val="20"/>
                <w:vertAlign w:val="superscript"/>
              </w:rPr>
              <w:t>31</w:t>
            </w:r>
            <w:r>
              <w:rPr>
                <w:b/>
                <w:sz w:val="20"/>
              </w:rPr>
              <w:t xml:space="preserve"> </w:t>
            </w:r>
          </w:p>
        </w:tc>
        <w:tc>
          <w:tcPr>
            <w:tcW w:w="1464" w:type="dxa"/>
            <w:tcBorders>
              <w:top w:val="single" w:sz="3" w:space="0" w:color="7F7F7F"/>
              <w:left w:val="nil"/>
              <w:bottom w:val="single" w:sz="3" w:space="0" w:color="7F7F7F"/>
              <w:right w:val="nil"/>
            </w:tcBorders>
          </w:tcPr>
          <w:p w:rsidR="00E0069E" w:rsidRDefault="00C37FF7">
            <w:pPr>
              <w:spacing w:after="0" w:line="259" w:lineRule="auto"/>
              <w:ind w:left="396" w:right="0" w:firstLine="0"/>
              <w:jc w:val="left"/>
            </w:pPr>
            <w:r>
              <w:rPr>
                <w:sz w:val="20"/>
              </w:rPr>
              <w:t xml:space="preserve">3HP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488" w:right="0" w:firstLine="0"/>
              <w:jc w:val="left"/>
            </w:pPr>
            <w:r>
              <w:rPr>
                <w:sz w:val="20"/>
              </w:rPr>
              <w:t xml:space="preserve">11,3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56" w:firstLine="0"/>
              <w:jc w:val="center"/>
            </w:pPr>
            <w:r>
              <w:rPr>
                <w:sz w:val="20"/>
              </w:rPr>
              <w:t xml:space="preserve">77/190 </w:t>
            </w:r>
          </w:p>
        </w:tc>
      </w:tr>
      <w:tr w:rsidR="00E0069E">
        <w:trPr>
          <w:trHeight w:val="240"/>
        </w:trPr>
        <w:tc>
          <w:tcPr>
            <w:tcW w:w="1816" w:type="dxa"/>
            <w:vMerge w:val="restart"/>
            <w:tcBorders>
              <w:top w:val="single" w:sz="3" w:space="0" w:color="7F7F7F"/>
              <w:left w:val="nil"/>
              <w:bottom w:val="single" w:sz="3" w:space="0" w:color="7F7F7F"/>
              <w:right w:val="nil"/>
            </w:tcBorders>
          </w:tcPr>
          <w:p w:rsidR="00E0069E" w:rsidRDefault="00C37FF7">
            <w:pPr>
              <w:spacing w:after="0" w:line="259" w:lineRule="auto"/>
              <w:ind w:left="176" w:right="0" w:firstLine="0"/>
              <w:jc w:val="left"/>
            </w:pPr>
            <w:r>
              <w:rPr>
                <w:b/>
                <w:sz w:val="20"/>
              </w:rPr>
              <w:t xml:space="preserve">Sterling </w:t>
            </w:r>
            <w:r>
              <w:rPr>
                <w:b/>
                <w:i/>
                <w:sz w:val="20"/>
              </w:rPr>
              <w:t>et al</w:t>
            </w:r>
            <w:r>
              <w:rPr>
                <w:sz w:val="20"/>
                <w:vertAlign w:val="superscript"/>
              </w:rPr>
              <w:t>46</w:t>
            </w:r>
            <w:r>
              <w:rPr>
                <w:b/>
                <w:sz w:val="20"/>
              </w:rPr>
              <w:t xml:space="preserve"> </w:t>
            </w:r>
          </w:p>
        </w:tc>
        <w:tc>
          <w:tcPr>
            <w:tcW w:w="1464" w:type="dxa"/>
            <w:tcBorders>
              <w:top w:val="single" w:sz="3" w:space="0" w:color="7F7F7F"/>
              <w:left w:val="nil"/>
              <w:bottom w:val="single" w:sz="3" w:space="0" w:color="7F7F7F"/>
              <w:right w:val="nil"/>
            </w:tcBorders>
          </w:tcPr>
          <w:p w:rsidR="00E0069E" w:rsidRDefault="00C37FF7">
            <w:pPr>
              <w:spacing w:after="0" w:line="259" w:lineRule="auto"/>
              <w:ind w:left="460" w:right="0" w:firstLine="0"/>
              <w:jc w:val="left"/>
            </w:pPr>
            <w:r>
              <w:rPr>
                <w:sz w:val="20"/>
              </w:rPr>
              <w:t xml:space="preserve">9H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540" w:right="0" w:firstLine="0"/>
              <w:jc w:val="left"/>
            </w:pPr>
            <w:r>
              <w:rPr>
                <w:sz w:val="20"/>
              </w:rPr>
              <w:t xml:space="preserve">0,4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57" w:firstLine="0"/>
              <w:jc w:val="center"/>
            </w:pPr>
            <w:r>
              <w:rPr>
                <w:sz w:val="20"/>
              </w:rPr>
              <w:t xml:space="preserve">15/3.659 </w:t>
            </w:r>
          </w:p>
        </w:tc>
      </w:tr>
      <w:tr w:rsidR="00E0069E">
        <w:trPr>
          <w:trHeight w:val="240"/>
        </w:trPr>
        <w:tc>
          <w:tcPr>
            <w:tcW w:w="0" w:type="auto"/>
            <w:vMerge/>
            <w:tcBorders>
              <w:top w:val="nil"/>
              <w:left w:val="nil"/>
              <w:bottom w:val="single" w:sz="3" w:space="0" w:color="7F7F7F"/>
              <w:right w:val="nil"/>
            </w:tcBorders>
          </w:tcPr>
          <w:p w:rsidR="00E0069E" w:rsidRDefault="00E0069E">
            <w:pPr>
              <w:spacing w:after="160" w:line="259" w:lineRule="auto"/>
              <w:ind w:left="0" w:right="0" w:firstLine="0"/>
              <w:jc w:val="left"/>
            </w:pPr>
          </w:p>
        </w:tc>
        <w:tc>
          <w:tcPr>
            <w:tcW w:w="1464" w:type="dxa"/>
            <w:tcBorders>
              <w:top w:val="single" w:sz="3" w:space="0" w:color="7F7F7F"/>
              <w:left w:val="nil"/>
              <w:bottom w:val="single" w:sz="3" w:space="0" w:color="7F7F7F"/>
              <w:right w:val="nil"/>
            </w:tcBorders>
          </w:tcPr>
          <w:p w:rsidR="00E0069E" w:rsidRDefault="00C37FF7">
            <w:pPr>
              <w:spacing w:after="0" w:line="259" w:lineRule="auto"/>
              <w:ind w:left="396" w:right="0" w:firstLine="0"/>
              <w:jc w:val="left"/>
            </w:pPr>
            <w:r>
              <w:rPr>
                <w:sz w:val="20"/>
              </w:rPr>
              <w:t xml:space="preserve">3HP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488" w:right="0" w:firstLine="0"/>
              <w:jc w:val="left"/>
            </w:pPr>
            <w:r>
              <w:rPr>
                <w:sz w:val="20"/>
              </w:rPr>
              <w:t xml:space="preserve">3,54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60" w:firstLine="0"/>
              <w:jc w:val="center"/>
            </w:pPr>
            <w:r>
              <w:rPr>
                <w:sz w:val="20"/>
              </w:rPr>
              <w:t xml:space="preserve">138/3.893 </w:t>
            </w:r>
          </w:p>
        </w:tc>
      </w:tr>
      <w:tr w:rsidR="00E0069E">
        <w:trPr>
          <w:trHeight w:val="472"/>
        </w:trPr>
        <w:tc>
          <w:tcPr>
            <w:tcW w:w="1816" w:type="dxa"/>
            <w:tcBorders>
              <w:top w:val="single" w:sz="3" w:space="0" w:color="7F7F7F"/>
              <w:left w:val="nil"/>
              <w:bottom w:val="single" w:sz="3" w:space="0" w:color="7F7F7F"/>
              <w:right w:val="nil"/>
            </w:tcBorders>
          </w:tcPr>
          <w:p w:rsidR="00E0069E" w:rsidRDefault="00C37FF7">
            <w:pPr>
              <w:spacing w:after="0" w:line="259" w:lineRule="auto"/>
              <w:ind w:left="692" w:right="0" w:hanging="484"/>
              <w:jc w:val="left"/>
            </w:pPr>
            <w:proofErr w:type="spellStart"/>
            <w:r>
              <w:rPr>
                <w:b/>
                <w:sz w:val="20"/>
              </w:rPr>
              <w:t>Kiliacaslan</w:t>
            </w:r>
            <w:proofErr w:type="spellEnd"/>
            <w:r>
              <w:rPr>
                <w:b/>
                <w:sz w:val="20"/>
              </w:rPr>
              <w:t xml:space="preserve"> </w:t>
            </w:r>
            <w:r>
              <w:rPr>
                <w:b/>
                <w:i/>
                <w:sz w:val="20"/>
              </w:rPr>
              <w:t>et al</w:t>
            </w:r>
            <w:r>
              <w:rPr>
                <w:sz w:val="20"/>
                <w:vertAlign w:val="superscript"/>
              </w:rPr>
              <w:t>41</w:t>
            </w:r>
            <w:r>
              <w:rPr>
                <w:b/>
                <w:sz w:val="20"/>
              </w:rPr>
              <w:t xml:space="preserve"> </w:t>
            </w:r>
          </w:p>
        </w:tc>
        <w:tc>
          <w:tcPr>
            <w:tcW w:w="1464" w:type="dxa"/>
            <w:tcBorders>
              <w:top w:val="single" w:sz="3" w:space="0" w:color="7F7F7F"/>
              <w:left w:val="nil"/>
              <w:bottom w:val="single" w:sz="3" w:space="0" w:color="7F7F7F"/>
              <w:right w:val="nil"/>
            </w:tcBorders>
          </w:tcPr>
          <w:p w:rsidR="00E0069E" w:rsidRDefault="00C37FF7">
            <w:pPr>
              <w:spacing w:after="0" w:line="259" w:lineRule="auto"/>
              <w:ind w:left="460" w:right="0" w:firstLine="0"/>
              <w:jc w:val="left"/>
            </w:pPr>
            <w:r>
              <w:rPr>
                <w:sz w:val="20"/>
              </w:rPr>
              <w:t xml:space="preserve">9H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432" w:right="0" w:firstLine="0"/>
              <w:jc w:val="left"/>
            </w:pPr>
            <w:r>
              <w:rPr>
                <w:sz w:val="20"/>
              </w:rPr>
              <w:t xml:space="preserve">15,21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56" w:firstLine="0"/>
              <w:jc w:val="center"/>
            </w:pPr>
            <w:r>
              <w:rPr>
                <w:sz w:val="20"/>
              </w:rPr>
              <w:t xml:space="preserve">7/46 </w:t>
            </w:r>
          </w:p>
        </w:tc>
      </w:tr>
      <w:tr w:rsidR="00E0069E">
        <w:trPr>
          <w:trHeight w:val="240"/>
        </w:trPr>
        <w:tc>
          <w:tcPr>
            <w:tcW w:w="1816" w:type="dxa"/>
            <w:vMerge w:val="restart"/>
            <w:tcBorders>
              <w:top w:val="single" w:sz="3" w:space="0" w:color="7F7F7F"/>
              <w:left w:val="nil"/>
              <w:bottom w:val="single" w:sz="3" w:space="0" w:color="7F7F7F"/>
              <w:right w:val="nil"/>
            </w:tcBorders>
          </w:tcPr>
          <w:p w:rsidR="00E0069E" w:rsidRDefault="00C37FF7">
            <w:pPr>
              <w:spacing w:after="0" w:line="259" w:lineRule="auto"/>
              <w:ind w:left="156" w:right="0" w:firstLine="0"/>
              <w:jc w:val="left"/>
            </w:pPr>
            <w:proofErr w:type="spellStart"/>
            <w:r>
              <w:rPr>
                <w:b/>
                <w:sz w:val="20"/>
              </w:rPr>
              <w:t>Menzies</w:t>
            </w:r>
            <w:proofErr w:type="spellEnd"/>
            <w:r>
              <w:rPr>
                <w:b/>
                <w:sz w:val="20"/>
              </w:rPr>
              <w:t xml:space="preserve"> </w:t>
            </w:r>
            <w:r>
              <w:rPr>
                <w:b/>
                <w:i/>
                <w:sz w:val="20"/>
              </w:rPr>
              <w:t>et al</w:t>
            </w:r>
            <w:r>
              <w:rPr>
                <w:sz w:val="20"/>
                <w:vertAlign w:val="superscript"/>
              </w:rPr>
              <w:t>35</w:t>
            </w:r>
            <w:r>
              <w:rPr>
                <w:b/>
                <w:sz w:val="20"/>
              </w:rPr>
              <w:t xml:space="preserve"> </w:t>
            </w:r>
          </w:p>
        </w:tc>
        <w:tc>
          <w:tcPr>
            <w:tcW w:w="1464" w:type="dxa"/>
            <w:tcBorders>
              <w:top w:val="single" w:sz="3" w:space="0" w:color="7F7F7F"/>
              <w:left w:val="nil"/>
              <w:bottom w:val="single" w:sz="3" w:space="0" w:color="7F7F7F"/>
              <w:right w:val="nil"/>
            </w:tcBorders>
          </w:tcPr>
          <w:p w:rsidR="00E0069E" w:rsidRDefault="00C37FF7">
            <w:pPr>
              <w:spacing w:after="0" w:line="259" w:lineRule="auto"/>
              <w:ind w:left="460" w:right="0" w:firstLine="0"/>
              <w:jc w:val="left"/>
            </w:pPr>
            <w:r>
              <w:rPr>
                <w:sz w:val="20"/>
              </w:rPr>
              <w:t xml:space="preserve">9H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540" w:right="0" w:firstLine="0"/>
              <w:jc w:val="left"/>
            </w:pPr>
            <w:r>
              <w:rPr>
                <w:sz w:val="20"/>
              </w:rPr>
              <w:t xml:space="preserve">7,8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60" w:firstLine="0"/>
              <w:jc w:val="center"/>
            </w:pPr>
            <w:r>
              <w:rPr>
                <w:sz w:val="20"/>
              </w:rPr>
              <w:t xml:space="preserve">233/2.989 </w:t>
            </w:r>
          </w:p>
        </w:tc>
      </w:tr>
      <w:tr w:rsidR="00E0069E">
        <w:trPr>
          <w:trHeight w:val="240"/>
        </w:trPr>
        <w:tc>
          <w:tcPr>
            <w:tcW w:w="0" w:type="auto"/>
            <w:vMerge/>
            <w:tcBorders>
              <w:top w:val="nil"/>
              <w:left w:val="nil"/>
              <w:bottom w:val="single" w:sz="3" w:space="0" w:color="7F7F7F"/>
              <w:right w:val="nil"/>
            </w:tcBorders>
          </w:tcPr>
          <w:p w:rsidR="00E0069E" w:rsidRDefault="00E0069E">
            <w:pPr>
              <w:spacing w:after="160" w:line="259" w:lineRule="auto"/>
              <w:ind w:left="0" w:right="0" w:firstLine="0"/>
              <w:jc w:val="left"/>
            </w:pPr>
          </w:p>
        </w:tc>
        <w:tc>
          <w:tcPr>
            <w:tcW w:w="1464" w:type="dxa"/>
            <w:tcBorders>
              <w:top w:val="single" w:sz="3" w:space="0" w:color="7F7F7F"/>
              <w:left w:val="nil"/>
              <w:bottom w:val="single" w:sz="3" w:space="0" w:color="7F7F7F"/>
              <w:right w:val="nil"/>
            </w:tcBorders>
          </w:tcPr>
          <w:p w:rsidR="00E0069E" w:rsidRDefault="00C37FF7">
            <w:pPr>
              <w:spacing w:after="0" w:line="259" w:lineRule="auto"/>
              <w:ind w:left="460" w:right="0" w:firstLine="0"/>
              <w:jc w:val="left"/>
            </w:pPr>
            <w:r>
              <w:rPr>
                <w:sz w:val="20"/>
              </w:rPr>
              <w:t xml:space="preserve">4R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540" w:right="0" w:firstLine="0"/>
              <w:jc w:val="left"/>
            </w:pPr>
            <w:r>
              <w:rPr>
                <w:sz w:val="20"/>
              </w:rPr>
              <w:t xml:space="preserve">3,4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60" w:firstLine="0"/>
              <w:jc w:val="center"/>
            </w:pPr>
            <w:r>
              <w:rPr>
                <w:sz w:val="20"/>
              </w:rPr>
              <w:t xml:space="preserve">105/3.023 </w:t>
            </w:r>
          </w:p>
        </w:tc>
      </w:tr>
      <w:tr w:rsidR="00E0069E">
        <w:trPr>
          <w:trHeight w:val="240"/>
        </w:trPr>
        <w:tc>
          <w:tcPr>
            <w:tcW w:w="1816" w:type="dxa"/>
            <w:tcBorders>
              <w:top w:val="single" w:sz="3" w:space="0" w:color="7F7F7F"/>
              <w:left w:val="nil"/>
              <w:bottom w:val="single" w:sz="3" w:space="0" w:color="7F7F7F"/>
              <w:right w:val="nil"/>
            </w:tcBorders>
          </w:tcPr>
          <w:p w:rsidR="00E0069E" w:rsidRDefault="00C37FF7">
            <w:pPr>
              <w:spacing w:after="0" w:line="259" w:lineRule="auto"/>
              <w:ind w:left="212" w:right="0" w:firstLine="0"/>
              <w:jc w:val="left"/>
            </w:pPr>
            <w:proofErr w:type="spellStart"/>
            <w:r>
              <w:rPr>
                <w:b/>
                <w:sz w:val="20"/>
              </w:rPr>
              <w:t>Sandul</w:t>
            </w:r>
            <w:proofErr w:type="spellEnd"/>
            <w:r>
              <w:rPr>
                <w:b/>
                <w:sz w:val="20"/>
              </w:rPr>
              <w:t xml:space="preserve"> </w:t>
            </w:r>
            <w:r>
              <w:rPr>
                <w:b/>
                <w:i/>
                <w:sz w:val="20"/>
              </w:rPr>
              <w:t>et al</w:t>
            </w:r>
            <w:r>
              <w:rPr>
                <w:sz w:val="20"/>
                <w:vertAlign w:val="superscript"/>
              </w:rPr>
              <w:t>25</w:t>
            </w:r>
            <w:r>
              <w:rPr>
                <w:b/>
                <w:sz w:val="20"/>
              </w:rPr>
              <w:t xml:space="preserve"> </w:t>
            </w:r>
          </w:p>
        </w:tc>
        <w:tc>
          <w:tcPr>
            <w:tcW w:w="1464" w:type="dxa"/>
            <w:tcBorders>
              <w:top w:val="single" w:sz="3" w:space="0" w:color="7F7F7F"/>
              <w:left w:val="nil"/>
              <w:bottom w:val="single" w:sz="3" w:space="0" w:color="7F7F7F"/>
              <w:right w:val="nil"/>
            </w:tcBorders>
          </w:tcPr>
          <w:p w:rsidR="00E0069E" w:rsidRDefault="00C37FF7">
            <w:pPr>
              <w:spacing w:after="0" w:line="259" w:lineRule="auto"/>
              <w:ind w:left="396" w:right="0" w:firstLine="0"/>
              <w:jc w:val="left"/>
            </w:pPr>
            <w:r>
              <w:rPr>
                <w:sz w:val="20"/>
              </w:rPr>
              <w:t xml:space="preserve">3HP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488" w:right="0" w:firstLine="0"/>
              <w:jc w:val="left"/>
            </w:pPr>
            <w:r>
              <w:rPr>
                <w:sz w:val="20"/>
              </w:rPr>
              <w:t xml:space="preserve">35,7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62" w:firstLine="0"/>
              <w:jc w:val="center"/>
            </w:pPr>
            <w:r>
              <w:rPr>
                <w:sz w:val="20"/>
              </w:rPr>
              <w:t xml:space="preserve">1.174/3.288 </w:t>
            </w:r>
          </w:p>
        </w:tc>
      </w:tr>
      <w:tr w:rsidR="00E0069E">
        <w:trPr>
          <w:trHeight w:val="240"/>
        </w:trPr>
        <w:tc>
          <w:tcPr>
            <w:tcW w:w="1816" w:type="dxa"/>
            <w:vMerge w:val="restart"/>
            <w:tcBorders>
              <w:top w:val="single" w:sz="3" w:space="0" w:color="7F7F7F"/>
              <w:left w:val="nil"/>
              <w:bottom w:val="single" w:sz="3" w:space="0" w:color="7F7F7F"/>
              <w:right w:val="nil"/>
            </w:tcBorders>
          </w:tcPr>
          <w:p w:rsidR="00E0069E" w:rsidRDefault="00C37FF7">
            <w:pPr>
              <w:spacing w:after="0" w:line="259" w:lineRule="auto"/>
              <w:ind w:left="0" w:right="82" w:firstLine="0"/>
              <w:jc w:val="center"/>
            </w:pPr>
            <w:r>
              <w:rPr>
                <w:b/>
                <w:sz w:val="20"/>
              </w:rPr>
              <w:t xml:space="preserve">Park </w:t>
            </w:r>
            <w:r>
              <w:rPr>
                <w:b/>
                <w:i/>
                <w:sz w:val="20"/>
              </w:rPr>
              <w:t>et al</w:t>
            </w:r>
            <w:r>
              <w:rPr>
                <w:sz w:val="20"/>
                <w:vertAlign w:val="superscript"/>
              </w:rPr>
              <w:t>32</w:t>
            </w:r>
            <w:r>
              <w:rPr>
                <w:b/>
                <w:sz w:val="20"/>
              </w:rPr>
              <w:t xml:space="preserve"> </w:t>
            </w:r>
          </w:p>
        </w:tc>
        <w:tc>
          <w:tcPr>
            <w:tcW w:w="1464" w:type="dxa"/>
            <w:tcBorders>
              <w:top w:val="single" w:sz="3" w:space="0" w:color="7F7F7F"/>
              <w:left w:val="nil"/>
              <w:bottom w:val="single" w:sz="3" w:space="0" w:color="7F7F7F"/>
              <w:right w:val="nil"/>
            </w:tcBorders>
          </w:tcPr>
          <w:p w:rsidR="00E0069E" w:rsidRDefault="00C37FF7">
            <w:pPr>
              <w:spacing w:after="0" w:line="259" w:lineRule="auto"/>
              <w:ind w:left="460" w:right="0" w:firstLine="0"/>
              <w:jc w:val="left"/>
            </w:pPr>
            <w:r>
              <w:rPr>
                <w:sz w:val="20"/>
              </w:rPr>
              <w:t xml:space="preserve">9H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488" w:right="0" w:firstLine="0"/>
              <w:jc w:val="left"/>
            </w:pPr>
            <w:r>
              <w:rPr>
                <w:sz w:val="20"/>
              </w:rPr>
              <w:t xml:space="preserve">58,1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56" w:firstLine="0"/>
              <w:jc w:val="center"/>
            </w:pPr>
            <w:r>
              <w:rPr>
                <w:sz w:val="20"/>
              </w:rPr>
              <w:t xml:space="preserve">25/43 </w:t>
            </w:r>
          </w:p>
        </w:tc>
      </w:tr>
      <w:tr w:rsidR="00E0069E">
        <w:trPr>
          <w:trHeight w:val="241"/>
        </w:trPr>
        <w:tc>
          <w:tcPr>
            <w:tcW w:w="0" w:type="auto"/>
            <w:vMerge/>
            <w:tcBorders>
              <w:top w:val="nil"/>
              <w:left w:val="nil"/>
              <w:bottom w:val="nil"/>
              <w:right w:val="nil"/>
            </w:tcBorders>
          </w:tcPr>
          <w:p w:rsidR="00E0069E" w:rsidRDefault="00E0069E">
            <w:pPr>
              <w:spacing w:after="160" w:line="259" w:lineRule="auto"/>
              <w:ind w:left="0" w:right="0" w:firstLine="0"/>
              <w:jc w:val="left"/>
            </w:pPr>
          </w:p>
        </w:tc>
        <w:tc>
          <w:tcPr>
            <w:tcW w:w="1464" w:type="dxa"/>
            <w:tcBorders>
              <w:top w:val="single" w:sz="3" w:space="0" w:color="7F7F7F"/>
              <w:left w:val="nil"/>
              <w:bottom w:val="single" w:sz="3" w:space="0" w:color="7F7F7F"/>
              <w:right w:val="nil"/>
            </w:tcBorders>
          </w:tcPr>
          <w:p w:rsidR="00E0069E" w:rsidRDefault="00C37FF7">
            <w:pPr>
              <w:spacing w:after="0" w:line="259" w:lineRule="auto"/>
              <w:ind w:left="388" w:right="0" w:firstLine="0"/>
              <w:jc w:val="left"/>
            </w:pPr>
            <w:r>
              <w:rPr>
                <w:sz w:val="20"/>
              </w:rPr>
              <w:t xml:space="preserve">3HR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488" w:right="0" w:firstLine="0"/>
              <w:jc w:val="left"/>
            </w:pPr>
            <w:r>
              <w:rPr>
                <w:sz w:val="20"/>
              </w:rPr>
              <w:t xml:space="preserve">45,7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56" w:firstLine="0"/>
              <w:jc w:val="center"/>
            </w:pPr>
            <w:r>
              <w:rPr>
                <w:sz w:val="20"/>
              </w:rPr>
              <w:t xml:space="preserve">37/81 </w:t>
            </w:r>
          </w:p>
        </w:tc>
      </w:tr>
      <w:tr w:rsidR="00E0069E">
        <w:trPr>
          <w:trHeight w:val="240"/>
        </w:trPr>
        <w:tc>
          <w:tcPr>
            <w:tcW w:w="0" w:type="auto"/>
            <w:vMerge/>
            <w:tcBorders>
              <w:top w:val="nil"/>
              <w:left w:val="nil"/>
              <w:bottom w:val="single" w:sz="3" w:space="0" w:color="7F7F7F"/>
              <w:right w:val="nil"/>
            </w:tcBorders>
          </w:tcPr>
          <w:p w:rsidR="00E0069E" w:rsidRDefault="00E0069E">
            <w:pPr>
              <w:spacing w:after="160" w:line="259" w:lineRule="auto"/>
              <w:ind w:left="0" w:right="0" w:firstLine="0"/>
              <w:jc w:val="left"/>
            </w:pPr>
          </w:p>
        </w:tc>
        <w:tc>
          <w:tcPr>
            <w:tcW w:w="1464" w:type="dxa"/>
            <w:tcBorders>
              <w:top w:val="single" w:sz="3" w:space="0" w:color="7F7F7F"/>
              <w:left w:val="nil"/>
              <w:bottom w:val="single" w:sz="3" w:space="0" w:color="7F7F7F"/>
              <w:right w:val="nil"/>
            </w:tcBorders>
          </w:tcPr>
          <w:p w:rsidR="00E0069E" w:rsidRDefault="00C37FF7">
            <w:pPr>
              <w:spacing w:after="0" w:line="259" w:lineRule="auto"/>
              <w:ind w:left="460" w:right="0" w:firstLine="0"/>
              <w:jc w:val="left"/>
            </w:pPr>
            <w:r>
              <w:rPr>
                <w:sz w:val="20"/>
              </w:rPr>
              <w:t xml:space="preserve">4R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488" w:right="0" w:firstLine="0"/>
              <w:jc w:val="left"/>
            </w:pPr>
            <w:r>
              <w:rPr>
                <w:sz w:val="20"/>
              </w:rPr>
              <w:t xml:space="preserve">23,1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56" w:firstLine="0"/>
              <w:jc w:val="center"/>
            </w:pPr>
            <w:r>
              <w:rPr>
                <w:sz w:val="20"/>
              </w:rPr>
              <w:t xml:space="preserve">3/13 </w:t>
            </w:r>
          </w:p>
        </w:tc>
      </w:tr>
      <w:tr w:rsidR="00E0069E">
        <w:trPr>
          <w:trHeight w:val="240"/>
        </w:trPr>
        <w:tc>
          <w:tcPr>
            <w:tcW w:w="1816" w:type="dxa"/>
            <w:tcBorders>
              <w:top w:val="single" w:sz="3" w:space="0" w:color="7F7F7F"/>
              <w:left w:val="nil"/>
              <w:bottom w:val="single" w:sz="3" w:space="0" w:color="7F7F7F"/>
              <w:right w:val="nil"/>
            </w:tcBorders>
          </w:tcPr>
          <w:p w:rsidR="00E0069E" w:rsidRDefault="00C37FF7">
            <w:pPr>
              <w:spacing w:after="0" w:line="259" w:lineRule="auto"/>
              <w:ind w:left="192" w:right="0" w:firstLine="0"/>
              <w:jc w:val="left"/>
            </w:pPr>
            <w:r>
              <w:rPr>
                <w:b/>
                <w:sz w:val="20"/>
              </w:rPr>
              <w:t xml:space="preserve">Alvarez </w:t>
            </w:r>
            <w:r>
              <w:rPr>
                <w:b/>
                <w:i/>
                <w:sz w:val="20"/>
              </w:rPr>
              <w:t>et al</w:t>
            </w:r>
            <w:r>
              <w:rPr>
                <w:sz w:val="20"/>
                <w:vertAlign w:val="superscript"/>
              </w:rPr>
              <w:t>42</w:t>
            </w:r>
            <w:r>
              <w:rPr>
                <w:b/>
                <w:sz w:val="20"/>
              </w:rPr>
              <w:t xml:space="preserve"> </w:t>
            </w:r>
          </w:p>
        </w:tc>
        <w:tc>
          <w:tcPr>
            <w:tcW w:w="1464" w:type="dxa"/>
            <w:tcBorders>
              <w:top w:val="single" w:sz="3" w:space="0" w:color="7F7F7F"/>
              <w:left w:val="nil"/>
              <w:bottom w:val="single" w:sz="3" w:space="0" w:color="7F7F7F"/>
              <w:right w:val="nil"/>
            </w:tcBorders>
          </w:tcPr>
          <w:p w:rsidR="00E0069E" w:rsidRDefault="00C37FF7">
            <w:pPr>
              <w:spacing w:after="0" w:line="259" w:lineRule="auto"/>
              <w:ind w:left="396" w:right="0" w:firstLine="0"/>
              <w:jc w:val="left"/>
            </w:pPr>
            <w:r>
              <w:rPr>
                <w:sz w:val="20"/>
              </w:rPr>
              <w:t xml:space="preserve">3HP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488" w:right="0" w:firstLine="0"/>
              <w:jc w:val="left"/>
            </w:pPr>
            <w:r>
              <w:rPr>
                <w:sz w:val="20"/>
              </w:rPr>
              <w:t xml:space="preserve">20,5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56" w:firstLine="0"/>
              <w:jc w:val="center"/>
            </w:pPr>
            <w:r>
              <w:rPr>
                <w:sz w:val="20"/>
              </w:rPr>
              <w:t xml:space="preserve">15/73 </w:t>
            </w:r>
          </w:p>
        </w:tc>
      </w:tr>
      <w:tr w:rsidR="00E0069E">
        <w:trPr>
          <w:trHeight w:val="240"/>
        </w:trPr>
        <w:tc>
          <w:tcPr>
            <w:tcW w:w="1816" w:type="dxa"/>
            <w:vMerge w:val="restart"/>
            <w:tcBorders>
              <w:top w:val="single" w:sz="3" w:space="0" w:color="7F7F7F"/>
              <w:left w:val="nil"/>
              <w:bottom w:val="single" w:sz="3" w:space="0" w:color="7F7F7F"/>
              <w:right w:val="nil"/>
            </w:tcBorders>
          </w:tcPr>
          <w:p w:rsidR="00E0069E" w:rsidRDefault="00C37FF7">
            <w:pPr>
              <w:spacing w:after="0" w:line="259" w:lineRule="auto"/>
              <w:ind w:left="164" w:right="0" w:firstLine="0"/>
              <w:jc w:val="left"/>
            </w:pPr>
            <w:proofErr w:type="spellStart"/>
            <w:r>
              <w:rPr>
                <w:b/>
                <w:sz w:val="20"/>
              </w:rPr>
              <w:t>Simkins</w:t>
            </w:r>
            <w:proofErr w:type="spellEnd"/>
            <w:r>
              <w:rPr>
                <w:b/>
                <w:sz w:val="20"/>
              </w:rPr>
              <w:t xml:space="preserve"> </w:t>
            </w:r>
            <w:r>
              <w:rPr>
                <w:b/>
                <w:i/>
                <w:sz w:val="20"/>
              </w:rPr>
              <w:t>et al</w:t>
            </w:r>
            <w:r>
              <w:rPr>
                <w:sz w:val="20"/>
                <w:vertAlign w:val="superscript"/>
              </w:rPr>
              <w:t>26</w:t>
            </w:r>
            <w:r>
              <w:rPr>
                <w:b/>
                <w:sz w:val="20"/>
              </w:rPr>
              <w:t xml:space="preserve"> </w:t>
            </w:r>
          </w:p>
        </w:tc>
        <w:tc>
          <w:tcPr>
            <w:tcW w:w="1464" w:type="dxa"/>
            <w:tcBorders>
              <w:top w:val="single" w:sz="3" w:space="0" w:color="7F7F7F"/>
              <w:left w:val="nil"/>
              <w:bottom w:val="single" w:sz="3" w:space="0" w:color="7F7F7F"/>
              <w:right w:val="nil"/>
            </w:tcBorders>
          </w:tcPr>
          <w:p w:rsidR="00E0069E" w:rsidRDefault="00C37FF7">
            <w:pPr>
              <w:spacing w:after="0" w:line="259" w:lineRule="auto"/>
              <w:ind w:left="460" w:right="0" w:firstLine="0"/>
              <w:jc w:val="left"/>
            </w:pPr>
            <w:r>
              <w:rPr>
                <w:sz w:val="20"/>
              </w:rPr>
              <w:t xml:space="preserve">9H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568" w:right="0" w:firstLine="0"/>
              <w:jc w:val="left"/>
            </w:pPr>
            <w:r>
              <w:rPr>
                <w:sz w:val="20"/>
              </w:rPr>
              <w:t xml:space="preserve">11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56" w:firstLine="0"/>
              <w:jc w:val="center"/>
            </w:pPr>
            <w:r>
              <w:rPr>
                <w:sz w:val="20"/>
              </w:rPr>
              <w:t xml:space="preserve">12/110 </w:t>
            </w:r>
          </w:p>
        </w:tc>
      </w:tr>
      <w:tr w:rsidR="00E0069E">
        <w:trPr>
          <w:trHeight w:val="240"/>
        </w:trPr>
        <w:tc>
          <w:tcPr>
            <w:tcW w:w="0" w:type="auto"/>
            <w:vMerge/>
            <w:tcBorders>
              <w:top w:val="nil"/>
              <w:left w:val="nil"/>
              <w:bottom w:val="single" w:sz="3" w:space="0" w:color="7F7F7F"/>
              <w:right w:val="nil"/>
            </w:tcBorders>
          </w:tcPr>
          <w:p w:rsidR="00E0069E" w:rsidRDefault="00E0069E">
            <w:pPr>
              <w:spacing w:after="160" w:line="259" w:lineRule="auto"/>
              <w:ind w:left="0" w:right="0" w:firstLine="0"/>
              <w:jc w:val="left"/>
            </w:pPr>
          </w:p>
        </w:tc>
        <w:tc>
          <w:tcPr>
            <w:tcW w:w="1464" w:type="dxa"/>
            <w:tcBorders>
              <w:top w:val="single" w:sz="3" w:space="0" w:color="7F7F7F"/>
              <w:left w:val="nil"/>
              <w:bottom w:val="single" w:sz="3" w:space="0" w:color="7F7F7F"/>
              <w:right w:val="nil"/>
            </w:tcBorders>
          </w:tcPr>
          <w:p w:rsidR="00E0069E" w:rsidRDefault="00C37FF7">
            <w:pPr>
              <w:spacing w:after="0" w:line="259" w:lineRule="auto"/>
              <w:ind w:left="396" w:right="0" w:firstLine="0"/>
              <w:jc w:val="left"/>
            </w:pPr>
            <w:r>
              <w:rPr>
                <w:sz w:val="20"/>
              </w:rPr>
              <w:t xml:space="preserve">3HP </w:t>
            </w:r>
          </w:p>
        </w:tc>
        <w:tc>
          <w:tcPr>
            <w:tcW w:w="1728" w:type="dxa"/>
            <w:tcBorders>
              <w:top w:val="single" w:sz="3" w:space="0" w:color="7F7F7F"/>
              <w:left w:val="nil"/>
              <w:bottom w:val="single" w:sz="3" w:space="0" w:color="7F7F7F"/>
              <w:right w:val="nil"/>
            </w:tcBorders>
          </w:tcPr>
          <w:p w:rsidR="00E0069E" w:rsidRDefault="00C37FF7">
            <w:pPr>
              <w:spacing w:after="0" w:line="259" w:lineRule="auto"/>
              <w:ind w:left="624" w:right="0" w:firstLine="0"/>
              <w:jc w:val="left"/>
            </w:pPr>
            <w:r>
              <w:rPr>
                <w:sz w:val="20"/>
              </w:rPr>
              <w:t xml:space="preserve">7 </w:t>
            </w:r>
          </w:p>
        </w:tc>
        <w:tc>
          <w:tcPr>
            <w:tcW w:w="3637" w:type="dxa"/>
            <w:tcBorders>
              <w:top w:val="single" w:sz="3" w:space="0" w:color="7F7F7F"/>
              <w:left w:val="nil"/>
              <w:bottom w:val="single" w:sz="3" w:space="0" w:color="7F7F7F"/>
              <w:right w:val="nil"/>
            </w:tcBorders>
          </w:tcPr>
          <w:p w:rsidR="00E0069E" w:rsidRDefault="00C37FF7">
            <w:pPr>
              <w:spacing w:after="0" w:line="259" w:lineRule="auto"/>
              <w:ind w:left="0" w:right="156" w:firstLine="0"/>
              <w:jc w:val="center"/>
            </w:pPr>
            <w:r>
              <w:rPr>
                <w:sz w:val="20"/>
              </w:rPr>
              <w:t xml:space="preserve">3/43 </w:t>
            </w:r>
          </w:p>
        </w:tc>
      </w:tr>
    </w:tbl>
    <w:p w:rsidR="00E0069E" w:rsidRDefault="00C37FF7">
      <w:pPr>
        <w:spacing w:after="142" w:line="259" w:lineRule="auto"/>
        <w:ind w:left="807" w:right="0"/>
        <w:jc w:val="center"/>
      </w:pPr>
      <w:r>
        <w:rPr>
          <w:sz w:val="20"/>
        </w:rPr>
        <w:t>H (Isoniazida); P (</w:t>
      </w:r>
      <w:proofErr w:type="spellStart"/>
      <w:r>
        <w:rPr>
          <w:sz w:val="20"/>
        </w:rPr>
        <w:t>Rifapentina</w:t>
      </w:r>
      <w:proofErr w:type="spellEnd"/>
      <w:r>
        <w:rPr>
          <w:sz w:val="20"/>
        </w:rPr>
        <w:t xml:space="preserve">); R (Rifampicina). </w:t>
      </w:r>
    </w:p>
    <w:p w:rsidR="00E0069E" w:rsidRDefault="00C37FF7">
      <w:pPr>
        <w:spacing w:after="140" w:line="259" w:lineRule="auto"/>
        <w:ind w:left="854" w:right="0" w:firstLine="0"/>
        <w:jc w:val="center"/>
      </w:pPr>
      <w:r>
        <w:rPr>
          <w:sz w:val="20"/>
        </w:rPr>
        <w:t xml:space="preserve"> </w:t>
      </w:r>
    </w:p>
    <w:p w:rsidR="00E0069E" w:rsidRDefault="00C37FF7">
      <w:pPr>
        <w:spacing w:after="0" w:line="259" w:lineRule="auto"/>
        <w:ind w:left="854" w:right="0" w:firstLine="0"/>
        <w:jc w:val="center"/>
      </w:pPr>
      <w:r>
        <w:rPr>
          <w:sz w:val="20"/>
        </w:rPr>
        <w:t xml:space="preserve"> </w:t>
      </w:r>
    </w:p>
    <w:p w:rsidR="00E0069E" w:rsidRDefault="00E0069E">
      <w:pPr>
        <w:sectPr w:rsidR="00E0069E">
          <w:pgSz w:w="16836" w:h="11908" w:orient="landscape"/>
          <w:pgMar w:top="1791" w:right="2499" w:bottom="1198" w:left="1133" w:header="720" w:footer="720" w:gutter="0"/>
          <w:cols w:space="720"/>
        </w:sectPr>
      </w:pPr>
    </w:p>
    <w:p w:rsidR="00E0069E" w:rsidRDefault="00C37FF7">
      <w:pPr>
        <w:pStyle w:val="Ttulo2"/>
        <w:ind w:left="1515" w:right="0"/>
      </w:pPr>
      <w:bookmarkStart w:id="24" w:name="_Toc54293"/>
      <w:proofErr w:type="gramStart"/>
      <w:r>
        <w:lastRenderedPageBreak/>
        <w:t xml:space="preserve">8.6  </w:t>
      </w:r>
      <w:r>
        <w:t>Adesão</w:t>
      </w:r>
      <w:proofErr w:type="gramEnd"/>
      <w:r>
        <w:t xml:space="preserve"> ao tratamento </w:t>
      </w:r>
      <w:bookmarkEnd w:id="24"/>
    </w:p>
    <w:p w:rsidR="00E0069E" w:rsidRDefault="00C37FF7">
      <w:pPr>
        <w:spacing w:after="189"/>
        <w:ind w:left="635" w:right="0"/>
      </w:pPr>
      <w:r>
        <w:t>As taxas de adesão aos tratamentos variaram dependendo da amostra e do esquema utilizado pelo artigo. A maior taxa de conclusão apresentada entre os estudos foi de 93%, onde foi utilizado o esquema 3HP em 43 pessoas, com idades variad</w:t>
      </w:r>
      <w:r>
        <w:t>as, que eram candidatas ao transplante renal. Deste total, apenas três pessoas interromperam o tratamento, sendo que todas foram devido aos eventos adversos</w:t>
      </w:r>
      <w:r>
        <w:rPr>
          <w:vertAlign w:val="superscript"/>
        </w:rPr>
        <w:t>26</w:t>
      </w:r>
      <w:r>
        <w:t xml:space="preserve">. Em contrapartida, a menor taxa de conclusão entre os estudos foi de 60,9%, numa população de 41 </w:t>
      </w:r>
      <w:r>
        <w:t>pacientes, renais crônicos e dialíticos, em idade adulta e que fizeram uso do esquema de tratamento 9H. No total, 16 pacientes interromperam o tratamento, sendo que, seis deles foram devidos aos eventos adversos e os dez pacientes restantes abandonaram o t</w:t>
      </w:r>
      <w:r>
        <w:t>ratamento ou tiveram perda de seguimento</w:t>
      </w:r>
      <w:r>
        <w:rPr>
          <w:vertAlign w:val="superscript"/>
        </w:rPr>
        <w:t>30</w:t>
      </w:r>
      <w:r>
        <w:t>.</w:t>
      </w:r>
      <w:r>
        <w:rPr>
          <w:vertAlign w:val="superscript"/>
        </w:rPr>
        <w:t xml:space="preserve"> </w:t>
      </w:r>
    </w:p>
    <w:p w:rsidR="00E0069E" w:rsidRDefault="00C37FF7">
      <w:pPr>
        <w:spacing w:after="0"/>
        <w:ind w:left="635" w:right="0"/>
      </w:pPr>
      <w:r>
        <w:t>Dois estudos não apresentaram as taxas de conclusão dos tratamentos que foram utilizados, nem os principais fatores que interferiram na adesão a esses esquemas. Entre os 18 estudos restantes, um artigo relatou q</w:t>
      </w:r>
      <w:r>
        <w:t>ue a principal causa de interrupção do tratamento foi a transferência de cuidados para outros serviços de saúde</w:t>
      </w:r>
      <w:r>
        <w:rPr>
          <w:vertAlign w:val="superscript"/>
        </w:rPr>
        <w:t>23</w:t>
      </w:r>
      <w:r>
        <w:t>, e outros dois estudos informaram que a causa foi a perda de seguimento ou por desistência ou por transferência de local</w:t>
      </w:r>
      <w:r>
        <w:rPr>
          <w:vertAlign w:val="superscript"/>
        </w:rPr>
        <w:t>26,27</w:t>
      </w:r>
      <w:r>
        <w:t>. Os 15 últimos a</w:t>
      </w:r>
      <w:r>
        <w:t>rtigos descreveram que os eventos adversos foram os principais causadores de descontinuação do tratamento</w:t>
      </w:r>
      <w:r>
        <w:rPr>
          <w:vertAlign w:val="superscript"/>
        </w:rPr>
        <w:t>25,28,29,31–</w:t>
      </w:r>
    </w:p>
    <w:p w:rsidR="00E0069E" w:rsidRDefault="00C37FF7">
      <w:pPr>
        <w:spacing w:after="433" w:line="261" w:lineRule="auto"/>
        <w:ind w:left="650" w:right="0"/>
        <w:jc w:val="left"/>
      </w:pPr>
      <w:r>
        <w:rPr>
          <w:sz w:val="16"/>
        </w:rPr>
        <w:t>33,35–39,41–43,45</w:t>
      </w:r>
      <w:r>
        <w:t xml:space="preserve">. </w:t>
      </w:r>
    </w:p>
    <w:p w:rsidR="00E0069E" w:rsidRDefault="00C37FF7">
      <w:pPr>
        <w:ind w:left="635" w:right="0"/>
      </w:pPr>
      <w:r>
        <w:t>De um total de 22 estudos apresentados na revisão, 54,5% utilizaram mais de um esquema de tratamento na sua metodologia. Dois destes estudos não serão abordados neste tema por não terem apresentado as taxas de conclusão. Em relação aos 10 restantes, apenas</w:t>
      </w:r>
      <w:r>
        <w:t xml:space="preserve"> um estudo utilizou o esquema de tratamento 3HP mais 2H</w:t>
      </w:r>
      <w:r>
        <w:rPr>
          <w:vertAlign w:val="subscript"/>
        </w:rPr>
        <w:t>2</w:t>
      </w:r>
      <w:r>
        <w:t>P</w:t>
      </w:r>
      <w:r>
        <w:rPr>
          <w:vertAlign w:val="subscript"/>
        </w:rPr>
        <w:t>2</w:t>
      </w:r>
      <w:r>
        <w:t xml:space="preserve">, onde tiveram taxas de adesão de 85,20% e 78,06%, respectivamente.  </w:t>
      </w:r>
    </w:p>
    <w:p w:rsidR="00E0069E" w:rsidRDefault="00C37FF7">
      <w:pPr>
        <w:ind w:left="635" w:right="0"/>
      </w:pPr>
      <w:r>
        <w:t xml:space="preserve">Quatro estudos apresentaram 9H simultaneamente ao 3HP, como esquemas de tratamento. </w:t>
      </w:r>
      <w:proofErr w:type="spellStart"/>
      <w:r>
        <w:t>Simkins</w:t>
      </w:r>
      <w:proofErr w:type="spellEnd"/>
      <w:r>
        <w:t xml:space="preserve"> </w:t>
      </w:r>
      <w:r>
        <w:rPr>
          <w:i/>
        </w:rPr>
        <w:t>et al</w:t>
      </w:r>
      <w:r>
        <w:t xml:space="preserve"> descreveu que o esquema 9H apr</w:t>
      </w:r>
      <w:r>
        <w:t>esentou taxa de 47% de conclusão e 93% em relação ao 3HP</w:t>
      </w:r>
      <w:r>
        <w:rPr>
          <w:vertAlign w:val="superscript"/>
        </w:rPr>
        <w:t>26</w:t>
      </w:r>
      <w:r>
        <w:t xml:space="preserve">. Sun </w:t>
      </w:r>
      <w:r>
        <w:rPr>
          <w:i/>
        </w:rPr>
        <w:t>et al</w:t>
      </w:r>
      <w:r>
        <w:t xml:space="preserve"> referiu que a taxas de adesões aos esquemas 9H foram de 77,9% e ao 3HP foram de 89,4%</w:t>
      </w:r>
      <w:r>
        <w:rPr>
          <w:vertAlign w:val="superscript"/>
        </w:rPr>
        <w:t>28</w:t>
      </w:r>
      <w:r>
        <w:t xml:space="preserve">. </w:t>
      </w:r>
      <w:proofErr w:type="spellStart"/>
      <w:r>
        <w:t>Feng</w:t>
      </w:r>
      <w:proofErr w:type="spellEnd"/>
      <w:r>
        <w:t xml:space="preserve"> </w:t>
      </w:r>
      <w:r>
        <w:rPr>
          <w:i/>
        </w:rPr>
        <w:t>et al</w:t>
      </w:r>
      <w:r>
        <w:t xml:space="preserve"> informou que o esquema 9H apresentou taxa de conclusão de 71% e o 3HP evidenciou uma t</w:t>
      </w:r>
      <w:r>
        <w:t>axa de 85,3%</w:t>
      </w:r>
      <w:r>
        <w:rPr>
          <w:vertAlign w:val="superscript"/>
        </w:rPr>
        <w:t>29</w:t>
      </w:r>
      <w:r>
        <w:t xml:space="preserve">. Já </w:t>
      </w:r>
      <w:proofErr w:type="spellStart"/>
      <w:r>
        <w:t>Lin</w:t>
      </w:r>
      <w:proofErr w:type="spellEnd"/>
      <w:r>
        <w:t xml:space="preserve"> </w:t>
      </w:r>
      <w:r>
        <w:rPr>
          <w:i/>
        </w:rPr>
        <w:t>et al</w:t>
      </w:r>
      <w:r>
        <w:t>, expressou uma taxa de 60,9% em relação ao esquema 9H e de 82% ao esquema 3HP</w:t>
      </w:r>
      <w:r>
        <w:rPr>
          <w:vertAlign w:val="superscript"/>
        </w:rPr>
        <w:t>30</w:t>
      </w:r>
      <w:r>
        <w:t xml:space="preserve">.  </w:t>
      </w:r>
    </w:p>
    <w:p w:rsidR="00E0069E" w:rsidRDefault="00C37FF7">
      <w:pPr>
        <w:spacing w:after="192"/>
        <w:ind w:left="635" w:right="0"/>
      </w:pPr>
      <w:r>
        <w:lastRenderedPageBreak/>
        <w:t xml:space="preserve">Três outros artigos utilizaram os esquemas 9H atrelado ao 4R. Gray </w:t>
      </w:r>
      <w:r>
        <w:rPr>
          <w:i/>
        </w:rPr>
        <w:t>et al</w:t>
      </w:r>
      <w:r>
        <w:t xml:space="preserve"> informou taxas de 73,6% e 86,3% aos esquemas 9H e 4R, respectivamente</w:t>
      </w:r>
      <w:r>
        <w:rPr>
          <w:vertAlign w:val="superscript"/>
        </w:rPr>
        <w:t>37</w:t>
      </w:r>
      <w:r>
        <w:t xml:space="preserve">. </w:t>
      </w:r>
      <w:proofErr w:type="spellStart"/>
      <w:r>
        <w:t>Menzies</w:t>
      </w:r>
      <w:proofErr w:type="spellEnd"/>
      <w:r>
        <w:t xml:space="preserve"> </w:t>
      </w:r>
      <w:r>
        <w:rPr>
          <w:i/>
        </w:rPr>
        <w:t>et al</w:t>
      </w:r>
      <w:r>
        <w:t xml:space="preserve"> apresentaram taxa de 63,2% ao esquema 9H e 78,8% ao esquema 4R</w:t>
      </w:r>
      <w:r>
        <w:rPr>
          <w:vertAlign w:val="superscript"/>
        </w:rPr>
        <w:t>35</w:t>
      </w:r>
      <w:r>
        <w:t xml:space="preserve">. Por fim, </w:t>
      </w:r>
      <w:proofErr w:type="spellStart"/>
      <w:r>
        <w:t>Diallo</w:t>
      </w:r>
      <w:proofErr w:type="spellEnd"/>
      <w:r>
        <w:t xml:space="preserve"> </w:t>
      </w:r>
      <w:r>
        <w:rPr>
          <w:i/>
        </w:rPr>
        <w:t>et al</w:t>
      </w:r>
      <w:r>
        <w:t xml:space="preserve"> descreveu taxa de 86,5% em relação ao esquema 9H e 77,1% em relação ao 4R</w:t>
      </w:r>
      <w:r>
        <w:rPr>
          <w:vertAlign w:val="superscript"/>
        </w:rPr>
        <w:t>36</w:t>
      </w:r>
      <w:r>
        <w:t xml:space="preserve">.  </w:t>
      </w:r>
    </w:p>
    <w:p w:rsidR="00E0069E" w:rsidRDefault="00C37FF7">
      <w:pPr>
        <w:ind w:left="635" w:right="0"/>
      </w:pPr>
      <w:r>
        <w:t>Os dois estudos restantes utilizaram em sua metodologia, três tipos de es</w:t>
      </w:r>
      <w:r>
        <w:t xml:space="preserve">quemas de tratamento. </w:t>
      </w:r>
      <w:proofErr w:type="spellStart"/>
      <w:r>
        <w:t>Erkens</w:t>
      </w:r>
      <w:proofErr w:type="spellEnd"/>
      <w:r>
        <w:t xml:space="preserve"> </w:t>
      </w:r>
      <w:r>
        <w:rPr>
          <w:i/>
        </w:rPr>
        <w:t>et al</w:t>
      </w:r>
      <w:r>
        <w:t xml:space="preserve"> utilizaram os esquemas 9H ou 6H reduzido, 4R, e 4HR ou 3HR reduzido</w:t>
      </w:r>
      <w:r>
        <w:rPr>
          <w:vertAlign w:val="superscript"/>
        </w:rPr>
        <w:t>40</w:t>
      </w:r>
      <w:r>
        <w:t xml:space="preserve">. Os esquemas 9H/6H apresentaram taxa de conclusão de 85%, o 4R demonstrou taxa de 91,1%, e o 4HR/3HR descreveu taxa de 91,5%. Em consonância, Park </w:t>
      </w:r>
      <w:r>
        <w:rPr>
          <w:i/>
        </w:rPr>
        <w:t>et a</w:t>
      </w:r>
      <w:r>
        <w:rPr>
          <w:i/>
        </w:rPr>
        <w:t>l</w:t>
      </w:r>
      <w:r>
        <w:t xml:space="preserve"> utilizou os esquemas 9H, 3HR e 4R. Os esquemas apresentaram taxas de conclusão de 76,7%, 91,4% e 92,3%, respectivamente</w:t>
      </w:r>
      <w:r>
        <w:rPr>
          <w:vertAlign w:val="superscript"/>
        </w:rPr>
        <w:t>32</w:t>
      </w:r>
      <w:r>
        <w:t xml:space="preserve">. (TABELA 3) </w:t>
      </w:r>
    </w:p>
    <w:p w:rsidR="00E0069E" w:rsidRDefault="00C37FF7">
      <w:pPr>
        <w:spacing w:after="0" w:line="259" w:lineRule="auto"/>
        <w:ind w:left="640" w:right="0" w:firstLine="0"/>
        <w:jc w:val="left"/>
      </w:pPr>
      <w:r>
        <w:rPr>
          <w:b/>
        </w:rPr>
        <w:t xml:space="preserve"> </w:t>
      </w:r>
      <w:r>
        <w:rPr>
          <w:b/>
        </w:rPr>
        <w:tab/>
        <w:t xml:space="preserve"> </w:t>
      </w:r>
      <w:r>
        <w:br w:type="page"/>
      </w:r>
    </w:p>
    <w:p w:rsidR="00E0069E" w:rsidRDefault="00C37FF7">
      <w:pPr>
        <w:spacing w:after="0" w:line="259" w:lineRule="auto"/>
        <w:ind w:left="1210" w:right="0" w:firstLine="0"/>
      </w:pPr>
      <w:r>
        <w:rPr>
          <w:noProof/>
        </w:rPr>
        <w:lastRenderedPageBreak/>
        <w:drawing>
          <wp:inline distT="0" distB="0" distL="0" distR="0">
            <wp:extent cx="5036693" cy="6669406"/>
            <wp:effectExtent l="0" t="0" r="0" b="0"/>
            <wp:docPr id="5169" name="Picture 5169"/>
            <wp:cNvGraphicFramePr/>
            <a:graphic xmlns:a="http://schemas.openxmlformats.org/drawingml/2006/main">
              <a:graphicData uri="http://schemas.openxmlformats.org/drawingml/2006/picture">
                <pic:pic xmlns:pic="http://schemas.openxmlformats.org/drawingml/2006/picture">
                  <pic:nvPicPr>
                    <pic:cNvPr id="5169" name="Picture 5169"/>
                    <pic:cNvPicPr/>
                  </pic:nvPicPr>
                  <pic:blipFill>
                    <a:blip r:embed="rId12"/>
                    <a:stretch>
                      <a:fillRect/>
                    </a:stretch>
                  </pic:blipFill>
                  <pic:spPr>
                    <a:xfrm>
                      <a:off x="0" y="0"/>
                      <a:ext cx="5036693" cy="6669406"/>
                    </a:xfrm>
                    <a:prstGeom prst="rect">
                      <a:avLst/>
                    </a:prstGeom>
                  </pic:spPr>
                </pic:pic>
              </a:graphicData>
            </a:graphic>
          </wp:inline>
        </w:drawing>
      </w:r>
      <w:r>
        <w:rPr>
          <w:rFonts w:ascii="Calibri" w:eastAsia="Calibri" w:hAnsi="Calibri" w:cs="Calibri"/>
          <w:sz w:val="22"/>
        </w:rPr>
        <w:t xml:space="preserve"> </w:t>
      </w:r>
    </w:p>
    <w:p w:rsidR="00E0069E" w:rsidRDefault="00C37FF7">
      <w:pPr>
        <w:pStyle w:val="Ttulo1"/>
        <w:ind w:left="650" w:right="0"/>
      </w:pPr>
      <w:bookmarkStart w:id="25" w:name="_Toc54294"/>
      <w:proofErr w:type="gramStart"/>
      <w:r>
        <w:t>9  DISCUSSÃO</w:t>
      </w:r>
      <w:proofErr w:type="gramEnd"/>
      <w:r>
        <w:t xml:space="preserve">  </w:t>
      </w:r>
      <w:bookmarkEnd w:id="25"/>
    </w:p>
    <w:p w:rsidR="00E0069E" w:rsidRDefault="00C37FF7">
      <w:pPr>
        <w:spacing w:after="190"/>
        <w:ind w:left="635" w:right="0"/>
      </w:pPr>
      <w:r>
        <w:t xml:space="preserve">Dentre os 17 países onde realizaram-se os estudos </w:t>
      </w:r>
      <w:r>
        <w:t xml:space="preserve">sobre esquemas de tratamento para ILTB, os Estados Unidos foi o país onde mais foi conduzido pesquisas, seguido pelo Brasil, Canadá e Taiwan. Sendo que, dentre esses quatro países, apenas o Brasil encontra-se no ranking de altas taxas de incidência de TB. </w:t>
      </w:r>
      <w:r>
        <w:t>Países como China, Indonésia e África do Sul estiveram em menor frequência nos estudos utilizados pela revisão</w:t>
      </w:r>
      <w:r>
        <w:rPr>
          <w:vertAlign w:val="superscript"/>
        </w:rPr>
        <w:t>47</w:t>
      </w:r>
      <w:r>
        <w:t xml:space="preserve">.  </w:t>
      </w:r>
    </w:p>
    <w:p w:rsidR="00E0069E" w:rsidRDefault="00C37FF7">
      <w:pPr>
        <w:ind w:left="635" w:right="0"/>
      </w:pPr>
      <w:r>
        <w:lastRenderedPageBreak/>
        <w:t>Segundo o Centro de Controle e Prevenção de Doenças</w:t>
      </w:r>
      <w:r>
        <w:rPr>
          <w:rFonts w:ascii="Calibri" w:eastAsia="Calibri" w:hAnsi="Calibri" w:cs="Calibri"/>
          <w:sz w:val="22"/>
        </w:rPr>
        <w:t xml:space="preserve"> </w:t>
      </w:r>
      <w:r>
        <w:t>(CDC), no ano de 2022 ocorreram 8.300 casos notificados de TB, nos Estados Unidos. Compa</w:t>
      </w:r>
      <w:r>
        <w:t>rado com o ano de 2021, onde foram notificados 7.874 casos, observa-se um aumento no número de infecções43. Mesmo com o aumento, os números de notificações ficam bem abaixo quando se compara com o Brasil, onde foram notificados em 2022, 78 mil casos de TB4</w:t>
      </w:r>
      <w:r>
        <w:t xml:space="preserve">4.  </w:t>
      </w:r>
    </w:p>
    <w:p w:rsidR="00E0069E" w:rsidRDefault="00C37FF7">
      <w:pPr>
        <w:spacing w:after="179"/>
        <w:ind w:left="635" w:right="0"/>
      </w:pPr>
      <w:r>
        <w:t>Em relação às populações apresentadas nos estudos, a idade adulta foi a mais frequente, estando presente em mais de 50% dos artigos incluídos na revisão. A OMS declarou que entre os anos de 2018 e 2022, pelo menos 30 milhões de pessoas realizaram o tr</w:t>
      </w:r>
      <w:r>
        <w:t>atamento para ILTB. Sendo que, 20 milhões foram adultos entre 20 e 59 anos e 4 milhões eram crianças menores de 5 anos. Esse cenário permite inferir que a população adulta é a que mais recebe diagnóstico de ILTB e essa faixa etária foi a mais recorrente en</w:t>
      </w:r>
      <w:r>
        <w:t>tre os artigos utilizados</w:t>
      </w:r>
      <w:r>
        <w:rPr>
          <w:vertAlign w:val="superscript"/>
        </w:rPr>
        <w:t>50</w:t>
      </w:r>
      <w:r>
        <w:t xml:space="preserve">.  </w:t>
      </w:r>
    </w:p>
    <w:p w:rsidR="00E0069E" w:rsidRDefault="00C37FF7">
      <w:pPr>
        <w:ind w:left="635" w:right="0"/>
      </w:pPr>
      <w:r>
        <w:t>Sobre os regimes de tratamentos, o esquema 9H foi o mais frequente entre os estudos e apresentou taxas de eventos adversos que variaram entre 0,4%</w:t>
      </w:r>
      <w:r>
        <w:rPr>
          <w:vertAlign w:val="superscript"/>
        </w:rPr>
        <w:t>46</w:t>
      </w:r>
      <w:r>
        <w:t xml:space="preserve"> e 90%</w:t>
      </w:r>
      <w:r>
        <w:rPr>
          <w:vertAlign w:val="superscript"/>
        </w:rPr>
        <w:t>30</w:t>
      </w:r>
      <w:r>
        <w:t>. Porém, esses estudos possuem características muito distintas, como:</w:t>
      </w:r>
      <w:r>
        <w:t xml:space="preserve"> os números de amostras, as idades e os países onde foram realizados. O estudo que apresentou taxa de 0,4%, foi realizado nos Estados Unidos, em uma amostra de 3.659 pessoas, com idade igual ou superior a 12 anos. Em contrapartida, o estudo com a taxa de 9</w:t>
      </w:r>
      <w:r>
        <w:t xml:space="preserve">0% foi realizado em Taiwan, em uma amostra com o total de 41 pessoas, em idade adulta. Esse contexto permite inferir que, as diferenças entre as características dos estudos, podem ter interferido e ocasionado essa grande variação entre as taxas de eventos </w:t>
      </w:r>
      <w:r>
        <w:t xml:space="preserve">adversos.  </w:t>
      </w:r>
    </w:p>
    <w:p w:rsidR="00E0069E" w:rsidRDefault="00C37FF7">
      <w:pPr>
        <w:ind w:left="635" w:right="0"/>
      </w:pPr>
      <w:r>
        <w:t>No geral, o esquema 9H apresentou taxas de EA mais elevadas e uma adesão ao tratamento relativamente inferior, quando comparado com o esquema 3HP ou 4R. Em contrapartida, quando se compara o esquema 3HP ao 4R, o 3HP apresenta taxas mais elevada</w:t>
      </w:r>
      <w:r>
        <w:t>s de EA e uma porcentagem de adesão muito semelhante. Essas comparações sugerem que, os regimes de tratamentos mais longos afetam na adesão ao tratamento e implica em uma maior probabilidade de se ter eventos adversos.</w:t>
      </w:r>
      <w:r>
        <w:rPr>
          <w:b/>
        </w:rPr>
        <w:t xml:space="preserve">   </w:t>
      </w:r>
    </w:p>
    <w:p w:rsidR="00E0069E" w:rsidRDefault="00C37FF7">
      <w:pPr>
        <w:ind w:left="635" w:right="0"/>
      </w:pPr>
      <w:r>
        <w:t>Apenas um estudo comparou os esquemas 3HP e 2H</w:t>
      </w:r>
      <w:r>
        <w:rPr>
          <w:vertAlign w:val="subscript"/>
        </w:rPr>
        <w:t>2</w:t>
      </w:r>
      <w:r>
        <w:t>P</w:t>
      </w:r>
      <w:r>
        <w:rPr>
          <w:vertAlign w:val="subscript"/>
        </w:rPr>
        <w:t>2</w:t>
      </w:r>
      <w:r>
        <w:rPr>
          <w:vertAlign w:val="superscript"/>
        </w:rPr>
        <w:t>43</w:t>
      </w:r>
      <w:r>
        <w:t>, sendo que o 3HP apresentou taxa de EA mais elevada</w:t>
      </w:r>
      <w:r>
        <w:rPr>
          <w:b/>
        </w:rPr>
        <w:t xml:space="preserve"> </w:t>
      </w:r>
      <w:r>
        <w:t xml:space="preserve">e uma porcentagem maior de adesão ao tratamento. Porém, por ter sido apresentado em apenas um artigo, torna-se difícil </w:t>
      </w:r>
      <w:r>
        <w:lastRenderedPageBreak/>
        <w:t>apresentar uma conclusão mais fir</w:t>
      </w:r>
      <w:r>
        <w:t>me sobre o regime 2H</w:t>
      </w:r>
      <w:r>
        <w:rPr>
          <w:vertAlign w:val="subscript"/>
        </w:rPr>
        <w:t>2</w:t>
      </w:r>
      <w:r>
        <w:t>P</w:t>
      </w:r>
      <w:r>
        <w:rPr>
          <w:vertAlign w:val="subscript"/>
        </w:rPr>
        <w:t>2</w:t>
      </w:r>
      <w:r>
        <w:t xml:space="preserve">. Park </w:t>
      </w:r>
      <w:r>
        <w:rPr>
          <w:i/>
        </w:rPr>
        <w:t>et al</w:t>
      </w:r>
      <w:r>
        <w:rPr>
          <w:vertAlign w:val="superscript"/>
        </w:rPr>
        <w:t>32</w:t>
      </w:r>
      <w:r>
        <w:t xml:space="preserve"> utilizou em seu estudo os esquemas 9H, 3HR e 4R. Dentre os três estudos, o 9H apresentou a maior taxa de eventos adversos (58,1%), já em relação a adesão ao tratamento, o esquema 4R apresentou as melhores taxas (92,3%)</w:t>
      </w:r>
      <w:r>
        <w:t xml:space="preserve">.  </w:t>
      </w:r>
    </w:p>
    <w:p w:rsidR="00E0069E" w:rsidRDefault="00C37FF7">
      <w:pPr>
        <w:ind w:left="635" w:right="0"/>
      </w:pPr>
      <w:r>
        <w:t xml:space="preserve">Em virtude </w:t>
      </w:r>
      <w:proofErr w:type="gramStart"/>
      <w:r>
        <w:t>dos</w:t>
      </w:r>
      <w:proofErr w:type="gramEnd"/>
      <w:r>
        <w:t xml:space="preserve"> artigos apresentarem formas variadas de definir e caracterizar os eventos adversos, reunir informações acerca dos tipos de EA presentes nos estudos, foi complexo. Entre os eventos adversos menos comuns estão: dois pacientes apresentaram </w:t>
      </w:r>
      <w:r>
        <w:t>trombocitopenia</w:t>
      </w:r>
      <w:r>
        <w:rPr>
          <w:vertAlign w:val="superscript"/>
        </w:rPr>
        <w:t>32,39</w:t>
      </w:r>
      <w:r>
        <w:t>, sendo que, um fez uso do esquema 3HR e o outro, do 3HP. Um paciente teve reação anafilática ao fazer uso do esquema 4R</w:t>
      </w:r>
      <w:r>
        <w:rPr>
          <w:vertAlign w:val="superscript"/>
        </w:rPr>
        <w:t>32</w:t>
      </w:r>
      <w:r>
        <w:t>, dois pacientes</w:t>
      </w:r>
      <w:r>
        <w:rPr>
          <w:vertAlign w:val="superscript"/>
        </w:rPr>
        <w:t>26</w:t>
      </w:r>
      <w:r>
        <w:t xml:space="preserve"> apresentaram hepatomegalia e outros dois apresentaram neuropatia ao fazerem uso do esquema 9H. </w:t>
      </w:r>
      <w:r>
        <w:t>Apenas um paciente que fez uso do esquema 3HP apresentou anemia severa. No geral, sintomas gastrointestinais como diarreia e dor abdominal, sintomas comuns em doenças gripais (ex. mialgia, febre, mal-estar), reações de hipersensibilidade e hepatotoxicidade</w:t>
      </w:r>
      <w:r>
        <w:t xml:space="preserve">, foram relatados na maioria dos regimes de tratamento.  </w:t>
      </w:r>
    </w:p>
    <w:p w:rsidR="00E0069E" w:rsidRDefault="00C37FF7">
      <w:pPr>
        <w:ind w:left="635" w:right="0"/>
      </w:pPr>
      <w:r>
        <w:t>A hepatotoxicidade é o evento adverso mais estudado entre os artigos. Porém, foi definida de forma variada entre os estudos, dificultando a interpretação das informações apresentadas. Os esquemas 4R</w:t>
      </w:r>
      <w:r>
        <w:t xml:space="preserve"> e 3HR não relataram a ocorrência de hepatotoxicidade entre seus pacientes. No entanto, os esquemas de tratamento que mais relataram hepatotoxicidade foram o 9H e o 3HP.  </w:t>
      </w:r>
    </w:p>
    <w:p w:rsidR="00E0069E" w:rsidRDefault="00C37FF7">
      <w:pPr>
        <w:ind w:left="635" w:right="0"/>
      </w:pPr>
      <w:r>
        <w:t>Alguns estudos utilizaram a escala de DAIDS</w:t>
      </w:r>
      <w:r>
        <w:rPr>
          <w:vertAlign w:val="superscript"/>
        </w:rPr>
        <w:t>44</w:t>
      </w:r>
      <w:r>
        <w:t xml:space="preserve"> para relatar os eventos adversos prese</w:t>
      </w:r>
      <w:r>
        <w:t>nte nos estudos. A escala enumera os eventos entre 1 e 5, sendo que o número 1 caracteriza um evento que tem baixo potencial a vida e o número 5 indica morte. Foram relatados 294 eventos adversos classificados como graus 1 ou 2 e 165 pacientes relataram co</w:t>
      </w:r>
      <w:r>
        <w:t xml:space="preserve">mo graus 3 ou 4, sendo que, esses relatos são oriundos dos esquemas 9H, 3HP, 4R, 3HR. </w:t>
      </w:r>
    </w:p>
    <w:p w:rsidR="00E0069E" w:rsidRDefault="00C37FF7">
      <w:pPr>
        <w:ind w:left="635" w:right="0"/>
      </w:pPr>
      <w:r>
        <w:t>Dentre as limitações do estudo, a mais impactante foi a variedade de definições dos eventos adversos entre os artigos, um exemplo, foi que alguns artigos definiram hepat</w:t>
      </w:r>
      <w:r>
        <w:t>otoxicidade de maneiras diferentes. Essa heterogeneidade nas descrições dos EA tornou os dados agregados difíceis de serem interpretados. Outro ponto que impactou na revisão foram as populações presentes nos estudos, pois as amostras eram heterogêneas, com</w:t>
      </w:r>
      <w:r>
        <w:t xml:space="preserve"> idades, comorbidades e locais de origem diferentes. Apenas </w:t>
      </w:r>
      <w:r>
        <w:lastRenderedPageBreak/>
        <w:t xml:space="preserve">incluímos artigos com idioma em inglês, português e espanhol, consequentemente, é possível que faltem dados oriundos de estudos relevantes publicados em outros idiomas. Contudo, a maior parte dos </w:t>
      </w:r>
      <w:r>
        <w:t>trabalhos e publicações de grande impacto estão nos idiomas os quais utilizamos.  Também realizamos uma análise de risco de viés dos artigos, após termos feito uma pesquisa e seleção dos estudos, e 40% dos estudos foram classificados em “baixa qualidade me</w:t>
      </w:r>
      <w:r>
        <w:t xml:space="preserve">todológica” ou “risco de viés indeterminado”. Outras limitações que estiveram presentes na revisão são que a maioria dos estudos foram observacionais, não realizamos </w:t>
      </w:r>
      <w:proofErr w:type="spellStart"/>
      <w:r>
        <w:t>metanálise</w:t>
      </w:r>
      <w:proofErr w:type="spellEnd"/>
      <w:r>
        <w:t xml:space="preserve"> dos resultados e nenhum dos ensaios clínicos foram duplo-cego.</w:t>
      </w:r>
      <w:r>
        <w:rPr>
          <w:b/>
        </w:rPr>
        <w:t xml:space="preserve"> </w:t>
      </w:r>
    </w:p>
    <w:p w:rsidR="00E0069E" w:rsidRDefault="00C37FF7">
      <w:pPr>
        <w:ind w:left="635" w:right="0"/>
      </w:pPr>
      <w:proofErr w:type="spellStart"/>
      <w:r>
        <w:t>Pease</w:t>
      </w:r>
      <w:proofErr w:type="spellEnd"/>
      <w:r>
        <w:t xml:space="preserve"> et al</w:t>
      </w:r>
      <w:r>
        <w:rPr>
          <w:vertAlign w:val="superscript"/>
        </w:rPr>
        <w:t>51</w:t>
      </w:r>
      <w:r>
        <w:t xml:space="preserve">, </w:t>
      </w:r>
      <w:r>
        <w:t>é uma revisão sistemática realizada no Canadá e que foi publicada em 19 de fevereiro de 2018. Esse estudo apresenta uma temática muito semelhante a que abordamos no nosso trabalho, onde comparam os eventos adversos que foram relatados aos tratamentos da IL</w:t>
      </w:r>
      <w:r>
        <w:t xml:space="preserve">TB que utilizam </w:t>
      </w:r>
      <w:proofErr w:type="spellStart"/>
      <w:r>
        <w:t>Rifapentina</w:t>
      </w:r>
      <w:proofErr w:type="spellEnd"/>
      <w:r>
        <w:t xml:space="preserve"> e Isoniazida apenas. Eles compararam os regimes: 6 meses de isoniazida diária (6H), 9 meses de isoniazida diária (9H), 12 semanas de isoniazida e </w:t>
      </w:r>
      <w:proofErr w:type="spellStart"/>
      <w:r>
        <w:t>rifapentina</w:t>
      </w:r>
      <w:proofErr w:type="spellEnd"/>
      <w:r>
        <w:t xml:space="preserve"> uma vez por semana (3HP), 3 a 4 meses de isoniazida e rifampicina diár</w:t>
      </w:r>
      <w:r>
        <w:t>ia (3-4HR) e 3 a 4 meses de rifampicina diária (3-4R). Relataram que os estudos utilizados eram heterogêneos e apresentavam um alto risco de viés, afirmaram também que as notificações de eventos adversos eram mínimas e cada estudo definia os eventos de for</w:t>
      </w:r>
      <w:r>
        <w:t>mas diferentes. Semelhante ao nosso estudo, descreveram que o esquema 3HP, no geral, apresenta uma baixa frequência de EA quando comparados com isoniazida em monoterapia. Porém diferiram da nossa revisão porque demonstram um aumento da frequência de reaçõe</w:t>
      </w:r>
      <w:r>
        <w:t xml:space="preserve">s semelhantes às da gripe e diminuição da frequência de hepatotoxicidade, ao contrário da nossa, que inferiu que a hepatotoxicidade foi muito semelhante tanto no 3HP, quanto no 6H ou 9H.   </w:t>
      </w:r>
    </w:p>
    <w:p w:rsidR="00E0069E" w:rsidRDefault="00C37FF7">
      <w:pPr>
        <w:spacing w:after="185"/>
        <w:ind w:left="635" w:right="0"/>
      </w:pPr>
      <w:r>
        <w:t>Em relação ao cenário local, o Brasil é um país com uma alta preva</w:t>
      </w:r>
      <w:r>
        <w:t>lência de TB. Segundo o boletim epidemiológico publicado no ano de 2022, entre 2018 e 2021, foram notificados no sistema IL-TB, 76.507 casos de pessoas que foram diagnosticadas e iniciaram o tratamento da ILTB. Sendo que, a maioria são do sexo feminino e c</w:t>
      </w:r>
      <w:r>
        <w:t>om faixa etária predominante, entre 15 e 59 anos de idade</w:t>
      </w:r>
      <w:r>
        <w:rPr>
          <w:vertAlign w:val="superscript"/>
        </w:rPr>
        <w:t>52</w:t>
      </w:r>
      <w:r>
        <w:t xml:space="preserve">. Ademais, considerado um grande avanço para o tratamento da ILTB no Brasil, em 2021 foi incorporado ao Sistema Único de Saúde (SUS) o regime 3HP. De acordo com o </w:t>
      </w:r>
      <w:r>
        <w:lastRenderedPageBreak/>
        <w:t>Ministério da Saúde (MS), a associ</w:t>
      </w:r>
      <w:r>
        <w:t xml:space="preserve">ação de </w:t>
      </w:r>
      <w:proofErr w:type="spellStart"/>
      <w:proofErr w:type="gramStart"/>
      <w:r>
        <w:t>Rifapentina</w:t>
      </w:r>
      <w:proofErr w:type="spellEnd"/>
      <w:r>
        <w:t xml:space="preserve">  à</w:t>
      </w:r>
      <w:proofErr w:type="gramEnd"/>
      <w:r>
        <w:t xml:space="preserve"> Isoniazida, com duração de três meses e aplicação de 12 doses semanais, por apresentar um menor tempo de duração quando comparado aos outros esquemas, acaba contribuindo para uma maior adesão e menos chances de ter efeitos adversos, </w:t>
      </w:r>
      <w:r>
        <w:t>melhorando a efetividade do tratamento</w:t>
      </w:r>
      <w:r>
        <w:rPr>
          <w:vertAlign w:val="superscript"/>
        </w:rPr>
        <w:t>53</w:t>
      </w:r>
      <w:r>
        <w:t>.</w:t>
      </w:r>
      <w:r>
        <w:rPr>
          <w:rFonts w:ascii="Times New Roman" w:eastAsia="Times New Roman" w:hAnsi="Times New Roman" w:cs="Times New Roman"/>
        </w:rPr>
        <w:t xml:space="preserve"> </w:t>
      </w:r>
    </w:p>
    <w:p w:rsidR="00E0069E" w:rsidRDefault="00C37FF7">
      <w:pPr>
        <w:spacing w:after="118" w:line="259" w:lineRule="auto"/>
        <w:ind w:left="924" w:right="0" w:firstLine="0"/>
        <w:jc w:val="left"/>
      </w:pPr>
      <w:r>
        <w:rPr>
          <w:b/>
        </w:rPr>
        <w:t xml:space="preserve"> </w:t>
      </w:r>
    </w:p>
    <w:p w:rsidR="00E0069E" w:rsidRDefault="00C37FF7">
      <w:pPr>
        <w:spacing w:after="297" w:line="259" w:lineRule="auto"/>
        <w:ind w:left="924" w:right="0" w:firstLine="0"/>
        <w:jc w:val="left"/>
      </w:pPr>
      <w:r>
        <w:rPr>
          <w:b/>
        </w:rPr>
        <w:t xml:space="preserve"> </w:t>
      </w:r>
    </w:p>
    <w:p w:rsidR="00E0069E" w:rsidRDefault="00C37FF7">
      <w:pPr>
        <w:spacing w:after="0" w:line="259" w:lineRule="auto"/>
        <w:ind w:left="640"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E0069E" w:rsidRDefault="00C37FF7">
      <w:pPr>
        <w:pStyle w:val="Ttulo1"/>
        <w:ind w:left="650" w:right="0"/>
      </w:pPr>
      <w:bookmarkStart w:id="26" w:name="_Toc54295"/>
      <w:r>
        <w:lastRenderedPageBreak/>
        <w:t xml:space="preserve">10 CONCLUSÃO </w:t>
      </w:r>
      <w:bookmarkEnd w:id="26"/>
    </w:p>
    <w:p w:rsidR="00E0069E" w:rsidRDefault="00C37FF7">
      <w:pPr>
        <w:ind w:left="635" w:right="0"/>
      </w:pPr>
      <w:r>
        <w:t xml:space="preserve">Os eventos adversos relatados, de forma mais homogênea, </w:t>
      </w:r>
      <w:r>
        <w:t xml:space="preserve">entre os esquemas de tratamentos foram sintomas gastrointestinais como diarreia e dor abdominal, sintomas comuns em doenças gripais (ex. mialgia, febre, mal-estar), reações de hipersensibilidade e hepatotoxicidade.  </w:t>
      </w:r>
    </w:p>
    <w:p w:rsidR="00E0069E" w:rsidRDefault="00C37FF7">
      <w:pPr>
        <w:ind w:left="635" w:right="0"/>
      </w:pPr>
      <w:r>
        <w:t>Dentre os regimes de tratamentos descri</w:t>
      </w:r>
      <w:r>
        <w:t xml:space="preserve">tos na revisão, o 9H e 3HP foram os mais presentes. O regime 9H apresentou maior frequência de eventos adversos e menor taxa de adesão medicamentosa. Já o esquema de tratamento 3HP foi o mais bem aceito, no geral. Apresentou frequência de eventos adversos </w:t>
      </w:r>
      <w:r>
        <w:t xml:space="preserve">inferior ao esquema 9H e taxas semelhantes ou inferiores, ao ser comparado com os demais esquemas. Além disso, em relação a adesão ao tratamento, o esquema 3HP apresentou as melhores taxas. </w:t>
      </w:r>
      <w:r>
        <w:rPr>
          <w:sz w:val="22"/>
        </w:rPr>
        <w:t xml:space="preserve"> </w:t>
      </w:r>
      <w:r>
        <w:rPr>
          <w:sz w:val="22"/>
        </w:rPr>
        <w:tab/>
        <w:t xml:space="preserve"> </w:t>
      </w:r>
      <w:r>
        <w:br w:type="page"/>
      </w:r>
    </w:p>
    <w:p w:rsidR="00E0069E" w:rsidRDefault="00C37FF7">
      <w:pPr>
        <w:pStyle w:val="Ttulo1"/>
        <w:ind w:left="650" w:right="0"/>
      </w:pPr>
      <w:bookmarkStart w:id="27" w:name="_Toc54296"/>
      <w:proofErr w:type="gramStart"/>
      <w:r>
        <w:lastRenderedPageBreak/>
        <w:t>11  REFERÊNCIAS</w:t>
      </w:r>
      <w:proofErr w:type="gramEnd"/>
      <w:r>
        <w:t xml:space="preserve">  </w:t>
      </w:r>
      <w:bookmarkEnd w:id="27"/>
    </w:p>
    <w:p w:rsidR="00E0069E" w:rsidRPr="00C37FF7" w:rsidRDefault="00C37FF7">
      <w:pPr>
        <w:numPr>
          <w:ilvl w:val="0"/>
          <w:numId w:val="2"/>
        </w:numPr>
        <w:ind w:right="0" w:hanging="640"/>
        <w:rPr>
          <w:lang w:val="en-US"/>
        </w:rPr>
      </w:pPr>
      <w:proofErr w:type="spellStart"/>
      <w:r w:rsidRPr="00C37FF7">
        <w:rPr>
          <w:lang w:val="en-US"/>
        </w:rPr>
        <w:t>Kapur</w:t>
      </w:r>
      <w:proofErr w:type="spellEnd"/>
      <w:r w:rsidRPr="00C37FF7">
        <w:rPr>
          <w:lang w:val="en-US"/>
        </w:rPr>
        <w:t xml:space="preserve"> V, Whittam TS, Musser JM. Is Mycobact</w:t>
      </w:r>
      <w:r w:rsidRPr="00C37FF7">
        <w:rPr>
          <w:lang w:val="en-US"/>
        </w:rPr>
        <w:t xml:space="preserve">erium tuberculosis 15,000 years old? J Infect Dis [Internet]. 1994 [cited 2022 Nov 11];170(5):1348–9. Available from: https://pubmed.ncbi.nlm.nih.gov/7963745/ </w:t>
      </w:r>
    </w:p>
    <w:p w:rsidR="00E0069E" w:rsidRDefault="00C37FF7">
      <w:pPr>
        <w:numPr>
          <w:ilvl w:val="0"/>
          <w:numId w:val="2"/>
        </w:numPr>
        <w:spacing w:after="122" w:line="259" w:lineRule="auto"/>
        <w:ind w:right="0" w:hanging="640"/>
      </w:pPr>
      <w:proofErr w:type="spellStart"/>
      <w:r>
        <w:t>Busatto</w:t>
      </w:r>
      <w:proofErr w:type="spellEnd"/>
      <w:r>
        <w:t xml:space="preserve"> C, Reis AJ, Valim AR de M, Nunes L de S, Carneiro M, </w:t>
      </w:r>
      <w:proofErr w:type="spellStart"/>
      <w:r>
        <w:t>Possuelo</w:t>
      </w:r>
      <w:proofErr w:type="spellEnd"/>
      <w:r>
        <w:t xml:space="preserve"> LG. </w:t>
      </w:r>
    </w:p>
    <w:p w:rsidR="00E0069E" w:rsidRPr="00C37FF7" w:rsidRDefault="00C37FF7">
      <w:pPr>
        <w:ind w:left="1290" w:right="0"/>
        <w:rPr>
          <w:lang w:val="en-US"/>
        </w:rPr>
      </w:pPr>
      <w:r>
        <w:t>Tuberculose ativa ver</w:t>
      </w:r>
      <w:r>
        <w:t xml:space="preserve">sus Tuberculose Latente: uma revisão de literatura. </w:t>
      </w:r>
      <w:r w:rsidRPr="00C37FF7">
        <w:rPr>
          <w:lang w:val="en-US"/>
        </w:rPr>
        <w:t xml:space="preserve">Journal of Infection Control [Internet]. 2015 [cited 2022 Nov 11];4(3). Available from: https://jic-abih.com.br/index.php/jic/article/view/116 </w:t>
      </w:r>
    </w:p>
    <w:p w:rsidR="00E0069E" w:rsidRDefault="00C37FF7">
      <w:pPr>
        <w:numPr>
          <w:ilvl w:val="0"/>
          <w:numId w:val="2"/>
        </w:numPr>
        <w:ind w:right="0" w:hanging="640"/>
      </w:pPr>
      <w:r>
        <w:t>Reinaldo Salomão. Infectologia: Bases clínicas e tratamento.</w:t>
      </w:r>
      <w:r>
        <w:t xml:space="preserve"> 1. ed. Rio de Janeiro: Guanabara Koogan; 2017.  </w:t>
      </w:r>
    </w:p>
    <w:p w:rsidR="00E0069E" w:rsidRPr="00C37FF7" w:rsidRDefault="00C37FF7">
      <w:pPr>
        <w:numPr>
          <w:ilvl w:val="0"/>
          <w:numId w:val="2"/>
        </w:numPr>
        <w:spacing w:after="126" w:line="259" w:lineRule="auto"/>
        <w:ind w:right="0" w:hanging="640"/>
        <w:rPr>
          <w:lang w:val="en-US"/>
        </w:rPr>
      </w:pPr>
      <w:r w:rsidRPr="00C37FF7">
        <w:rPr>
          <w:lang w:val="en-US"/>
        </w:rPr>
        <w:t xml:space="preserve">M.D. ROSSMAN, R. MACGREGOR. Introduction and brief history. 1. ed. </w:t>
      </w:r>
    </w:p>
    <w:p w:rsidR="00E0069E" w:rsidRDefault="00C37FF7">
      <w:pPr>
        <w:spacing w:after="274" w:line="259" w:lineRule="auto"/>
        <w:ind w:left="1290" w:right="0"/>
      </w:pPr>
      <w:r>
        <w:t xml:space="preserve">Philadelphia: McGraw-Hill; 1995.  </w:t>
      </w:r>
    </w:p>
    <w:p w:rsidR="00E0069E" w:rsidRDefault="00C37FF7">
      <w:pPr>
        <w:numPr>
          <w:ilvl w:val="0"/>
          <w:numId w:val="2"/>
        </w:numPr>
        <w:spacing w:after="195"/>
        <w:ind w:right="0" w:hanging="640"/>
      </w:pPr>
      <w:r>
        <w:t xml:space="preserve">Ministério da Saúde S de V em SD de VE. Guia de vigilância epidemiológica. 7. ed. </w:t>
      </w:r>
      <w:proofErr w:type="gramStart"/>
      <w:r>
        <w:t>Brasília :</w:t>
      </w:r>
      <w:proofErr w:type="gramEnd"/>
      <w:r>
        <w:t xml:space="preserve"> Ministério</w:t>
      </w:r>
      <w:r>
        <w:t xml:space="preserve"> da Saúde; 2009.  </w:t>
      </w:r>
    </w:p>
    <w:p w:rsidR="00E0069E" w:rsidRDefault="00C37FF7">
      <w:pPr>
        <w:numPr>
          <w:ilvl w:val="0"/>
          <w:numId w:val="2"/>
        </w:numPr>
        <w:ind w:right="0" w:hanging="640"/>
      </w:pPr>
      <w:proofErr w:type="spellStart"/>
      <w:r>
        <w:t>O’Garra</w:t>
      </w:r>
      <w:proofErr w:type="spellEnd"/>
      <w:r>
        <w:t xml:space="preserve"> A, Redford PS, </w:t>
      </w:r>
      <w:proofErr w:type="spellStart"/>
      <w:r>
        <w:t>McNab</w:t>
      </w:r>
      <w:proofErr w:type="spellEnd"/>
      <w:r>
        <w:t xml:space="preserve"> FW, Bloom CI, Wilkinson RJ, Berry MPR. The </w:t>
      </w:r>
      <w:proofErr w:type="spellStart"/>
      <w:r>
        <w:t>Immune</w:t>
      </w:r>
      <w:proofErr w:type="spellEnd"/>
      <w:r>
        <w:t xml:space="preserve"> Response in </w:t>
      </w:r>
      <w:proofErr w:type="spellStart"/>
      <w:r>
        <w:t>Tuberculosis</w:t>
      </w:r>
      <w:proofErr w:type="spellEnd"/>
      <w:r>
        <w:t xml:space="preserve">. </w:t>
      </w:r>
      <w:proofErr w:type="spellStart"/>
      <w:r>
        <w:t>Annu</w:t>
      </w:r>
      <w:proofErr w:type="spellEnd"/>
      <w:r>
        <w:t xml:space="preserve"> </w:t>
      </w:r>
      <w:proofErr w:type="spellStart"/>
      <w:r>
        <w:t>Rev</w:t>
      </w:r>
      <w:proofErr w:type="spellEnd"/>
      <w:r>
        <w:t xml:space="preserve"> </w:t>
      </w:r>
      <w:proofErr w:type="spellStart"/>
      <w:r>
        <w:t>Immunol</w:t>
      </w:r>
      <w:proofErr w:type="spellEnd"/>
      <w:r>
        <w:t xml:space="preserve">. 2013 Mar 21;31(1):475– 527.  </w:t>
      </w:r>
    </w:p>
    <w:p w:rsidR="00E0069E" w:rsidRDefault="00C37FF7">
      <w:pPr>
        <w:numPr>
          <w:ilvl w:val="0"/>
          <w:numId w:val="2"/>
        </w:numPr>
        <w:spacing w:after="282" w:line="259" w:lineRule="auto"/>
        <w:ind w:right="0" w:hanging="640"/>
      </w:pPr>
      <w:r w:rsidRPr="00C37FF7">
        <w:rPr>
          <w:lang w:val="en-US"/>
        </w:rPr>
        <w:t xml:space="preserve">WHO </w:t>
      </w:r>
      <w:proofErr w:type="spellStart"/>
      <w:r w:rsidRPr="00C37FF7">
        <w:rPr>
          <w:lang w:val="en-US"/>
        </w:rPr>
        <w:t>WHO</w:t>
      </w:r>
      <w:proofErr w:type="spellEnd"/>
      <w:r w:rsidRPr="00C37FF7">
        <w:rPr>
          <w:lang w:val="en-US"/>
        </w:rPr>
        <w:t xml:space="preserve">. TB deaths and incidence. </w:t>
      </w:r>
      <w:r>
        <w:t xml:space="preserve">Global </w:t>
      </w:r>
      <w:proofErr w:type="spellStart"/>
      <w:r>
        <w:t>tuberculosis</w:t>
      </w:r>
      <w:proofErr w:type="spellEnd"/>
      <w:r>
        <w:t xml:space="preserve"> report. 2021;13–4.  </w:t>
      </w:r>
    </w:p>
    <w:p w:rsidR="00E0069E" w:rsidRDefault="00C37FF7">
      <w:pPr>
        <w:numPr>
          <w:ilvl w:val="0"/>
          <w:numId w:val="2"/>
        </w:numPr>
        <w:ind w:right="0" w:hanging="640"/>
      </w:pPr>
      <w:r w:rsidRPr="00C37FF7">
        <w:rPr>
          <w:lang w:val="en-US"/>
        </w:rPr>
        <w:t xml:space="preserve">World Health Organization. Latent tuberculosis infection: updated and consolidated guidelines for programmatic management. </w:t>
      </w:r>
      <w:r>
        <w:t xml:space="preserve">1. ed. </w:t>
      </w:r>
      <w:proofErr w:type="spellStart"/>
      <w:r>
        <w:t>Geneva</w:t>
      </w:r>
      <w:proofErr w:type="spellEnd"/>
      <w:r>
        <w:t xml:space="preserve">: World Health </w:t>
      </w:r>
      <w:proofErr w:type="spellStart"/>
      <w:r>
        <w:t>Organization</w:t>
      </w:r>
      <w:proofErr w:type="spellEnd"/>
      <w:r>
        <w:t xml:space="preserve">; 2018.  </w:t>
      </w:r>
    </w:p>
    <w:p w:rsidR="00E0069E" w:rsidRDefault="00C37FF7">
      <w:pPr>
        <w:numPr>
          <w:ilvl w:val="0"/>
          <w:numId w:val="2"/>
        </w:numPr>
        <w:ind w:right="0" w:hanging="640"/>
      </w:pPr>
      <w:r>
        <w:t>Ministério da Saúde S de V em SD de V das DT. Manual de Recomendações para o Contro</w:t>
      </w:r>
      <w:r>
        <w:t xml:space="preserve">le da Tuberculose no Brasil. 2. ed. </w:t>
      </w:r>
      <w:proofErr w:type="gramStart"/>
      <w:r>
        <w:t>Brasília :</w:t>
      </w:r>
      <w:proofErr w:type="gramEnd"/>
      <w:r>
        <w:t xml:space="preserve"> Ministério da Saúde; 2019.  </w:t>
      </w:r>
    </w:p>
    <w:p w:rsidR="00E0069E" w:rsidRDefault="00C37FF7">
      <w:pPr>
        <w:numPr>
          <w:ilvl w:val="0"/>
          <w:numId w:val="2"/>
        </w:numPr>
        <w:ind w:right="0" w:hanging="640"/>
      </w:pPr>
      <w:r>
        <w:t>Lopes DM de A, Pinheiro VGF, Monteiro HSA, Queiroz JAN, Madeira L dos S, Lopes MM de A. Diagnóstico e tratamento da tuberculose latente em pacientes com doenças inflamatórias crôni</w:t>
      </w:r>
      <w:r>
        <w:t xml:space="preserve">cas e uso de imunobiológicos inibidores do TNF-α. Jornal Brasileiro de Pneumologia. 2011 Jun;37(3):308–16.  </w:t>
      </w:r>
    </w:p>
    <w:p w:rsidR="00E0069E" w:rsidRDefault="00C37FF7">
      <w:pPr>
        <w:numPr>
          <w:ilvl w:val="0"/>
          <w:numId w:val="2"/>
        </w:numPr>
        <w:ind w:right="0" w:hanging="640"/>
      </w:pPr>
      <w:r w:rsidRPr="00C37FF7">
        <w:rPr>
          <w:lang w:val="en-US"/>
        </w:rPr>
        <w:lastRenderedPageBreak/>
        <w:t xml:space="preserve">Horsburgh CR, Rubin EJ. Latent Tuberculosis Infection in the United States. </w:t>
      </w:r>
      <w:r>
        <w:t xml:space="preserve">New </w:t>
      </w:r>
      <w:proofErr w:type="spellStart"/>
      <w:r>
        <w:t>England</w:t>
      </w:r>
      <w:proofErr w:type="spellEnd"/>
      <w:r>
        <w:t xml:space="preserve"> </w:t>
      </w:r>
      <w:proofErr w:type="spellStart"/>
      <w:r>
        <w:t>Journal</w:t>
      </w:r>
      <w:proofErr w:type="spellEnd"/>
      <w:r>
        <w:t xml:space="preserve"> </w:t>
      </w:r>
      <w:proofErr w:type="spellStart"/>
      <w:proofErr w:type="gramStart"/>
      <w:r>
        <w:t>of</w:t>
      </w:r>
      <w:proofErr w:type="spellEnd"/>
      <w:r>
        <w:t xml:space="preserve"> Medicine</w:t>
      </w:r>
      <w:proofErr w:type="gramEnd"/>
      <w:r>
        <w:t xml:space="preserve">. 2011 </w:t>
      </w:r>
      <w:proofErr w:type="spellStart"/>
      <w:r>
        <w:t>Apr</w:t>
      </w:r>
      <w:proofErr w:type="spellEnd"/>
      <w:r>
        <w:t xml:space="preserve"> 14;364(15):1441–8.  </w:t>
      </w:r>
    </w:p>
    <w:p w:rsidR="00E0069E" w:rsidRDefault="00C37FF7">
      <w:pPr>
        <w:numPr>
          <w:ilvl w:val="0"/>
          <w:numId w:val="2"/>
        </w:numPr>
        <w:ind w:right="0" w:hanging="640"/>
      </w:pPr>
      <w:r w:rsidRPr="00C37FF7">
        <w:rPr>
          <w:lang w:val="en-US"/>
        </w:rPr>
        <w:t xml:space="preserve">Lee JY. </w:t>
      </w:r>
      <w:r w:rsidRPr="00C37FF7">
        <w:rPr>
          <w:lang w:val="en-US"/>
        </w:rPr>
        <w:t xml:space="preserve">Diagnosis and Treatment of Extrapulmonary Tuberculosis. </w:t>
      </w:r>
      <w:proofErr w:type="spellStart"/>
      <w:r>
        <w:t>Tuberc</w:t>
      </w:r>
      <w:proofErr w:type="spellEnd"/>
      <w:r>
        <w:t xml:space="preserve"> </w:t>
      </w:r>
      <w:proofErr w:type="spellStart"/>
      <w:r>
        <w:t>Respir</w:t>
      </w:r>
      <w:proofErr w:type="spellEnd"/>
      <w:r>
        <w:t xml:space="preserve"> </w:t>
      </w:r>
      <w:proofErr w:type="spellStart"/>
      <w:r>
        <w:t>Dis</w:t>
      </w:r>
      <w:proofErr w:type="spellEnd"/>
      <w:r>
        <w:t xml:space="preserve"> (Seoul). 2015;78(2):47.  </w:t>
      </w:r>
    </w:p>
    <w:p w:rsidR="00E0069E" w:rsidRDefault="00C37FF7">
      <w:pPr>
        <w:numPr>
          <w:ilvl w:val="0"/>
          <w:numId w:val="2"/>
        </w:numPr>
        <w:ind w:right="0" w:hanging="640"/>
      </w:pPr>
      <w:proofErr w:type="spellStart"/>
      <w:r w:rsidRPr="00C37FF7">
        <w:rPr>
          <w:lang w:val="en-US"/>
        </w:rPr>
        <w:t>Houben</w:t>
      </w:r>
      <w:proofErr w:type="spellEnd"/>
      <w:r w:rsidRPr="00C37FF7">
        <w:rPr>
          <w:lang w:val="en-US"/>
        </w:rPr>
        <w:t xml:space="preserve"> RMGJ, Dodd PJ. The Global Burden of Latent Tuberculosis Infection: A Re-estimation Using Mathematical Modelling. </w:t>
      </w:r>
      <w:proofErr w:type="spellStart"/>
      <w:r>
        <w:t>PLoS</w:t>
      </w:r>
      <w:proofErr w:type="spellEnd"/>
      <w:r>
        <w:t xml:space="preserve"> Med. 2016 </w:t>
      </w:r>
      <w:proofErr w:type="spellStart"/>
      <w:r>
        <w:t>Oct</w:t>
      </w:r>
      <w:proofErr w:type="spellEnd"/>
      <w:r>
        <w:t xml:space="preserve"> 25;13(10):e100215</w:t>
      </w:r>
      <w:r>
        <w:t xml:space="preserve">2.  </w:t>
      </w:r>
    </w:p>
    <w:p w:rsidR="00E0069E" w:rsidRPr="00C37FF7" w:rsidRDefault="00C37FF7">
      <w:pPr>
        <w:numPr>
          <w:ilvl w:val="0"/>
          <w:numId w:val="2"/>
        </w:numPr>
        <w:spacing w:after="276" w:line="259" w:lineRule="auto"/>
        <w:ind w:right="0" w:hanging="640"/>
        <w:rPr>
          <w:lang w:val="en-US"/>
        </w:rPr>
      </w:pPr>
      <w:proofErr w:type="spellStart"/>
      <w:r w:rsidRPr="00C37FF7">
        <w:rPr>
          <w:lang w:val="en-US"/>
        </w:rPr>
        <w:t>Rieder</w:t>
      </w:r>
      <w:proofErr w:type="spellEnd"/>
      <w:r w:rsidRPr="00C37FF7">
        <w:rPr>
          <w:lang w:val="en-US"/>
        </w:rPr>
        <w:t xml:space="preserve"> HL. Epidemiologic Basis of Tuberculosis Control First edition 1999.  </w:t>
      </w:r>
    </w:p>
    <w:p w:rsidR="00E0069E" w:rsidRDefault="00C37FF7">
      <w:pPr>
        <w:numPr>
          <w:ilvl w:val="0"/>
          <w:numId w:val="2"/>
        </w:numPr>
        <w:ind w:right="0" w:hanging="640"/>
      </w:pPr>
      <w:r>
        <w:t xml:space="preserve">Ministério da Saúde, Secretaria de </w:t>
      </w:r>
      <w:proofErr w:type="spellStart"/>
      <w:r>
        <w:t>Vigilância</w:t>
      </w:r>
      <w:proofErr w:type="spellEnd"/>
      <w:r>
        <w:t xml:space="preserve"> em Saúde, Departamento de Vigilância Epidemiológica, Coordenação-Geral do Programa Nacional de Controle da Tuberculose. Tratame</w:t>
      </w:r>
      <w:r>
        <w:t xml:space="preserve">nto Diretamente Observado da Tuberculose na Atenção Básica: Protocolo de Enfermagem. Brasília; 2011.  </w:t>
      </w:r>
    </w:p>
    <w:p w:rsidR="00E0069E" w:rsidRDefault="00C37FF7">
      <w:pPr>
        <w:numPr>
          <w:ilvl w:val="0"/>
          <w:numId w:val="2"/>
        </w:numPr>
        <w:ind w:right="0" w:hanging="640"/>
      </w:pPr>
      <w:r>
        <w:t xml:space="preserve">Rubens Camargo Siqueira, Fernando </w:t>
      </w:r>
      <w:proofErr w:type="spellStart"/>
      <w:r>
        <w:t>Oréfice</w:t>
      </w:r>
      <w:proofErr w:type="spellEnd"/>
      <w:r>
        <w:t xml:space="preserve">. Potencial do teste IGRA (Interferon Gama Release </w:t>
      </w:r>
      <w:proofErr w:type="spellStart"/>
      <w:r>
        <w:t>Assay</w:t>
      </w:r>
      <w:proofErr w:type="spellEnd"/>
      <w:r>
        <w:t>) para o diagnóstico de tuberculose ocular. Revisão e an</w:t>
      </w:r>
      <w:r>
        <w:t xml:space="preserve">álise comparativa com o teste tuberculínico cutâneo (PPD). Revista Brasileira de </w:t>
      </w:r>
      <w:proofErr w:type="gramStart"/>
      <w:r>
        <w:t>Oftalmologia .</w:t>
      </w:r>
      <w:proofErr w:type="gramEnd"/>
      <w:r>
        <w:t xml:space="preserve"> 2019;  </w:t>
      </w:r>
    </w:p>
    <w:p w:rsidR="00E0069E" w:rsidRDefault="00C37FF7">
      <w:pPr>
        <w:numPr>
          <w:ilvl w:val="0"/>
          <w:numId w:val="2"/>
        </w:numPr>
        <w:ind w:right="0" w:hanging="640"/>
      </w:pPr>
      <w:proofErr w:type="spellStart"/>
      <w:r w:rsidRPr="00C37FF7">
        <w:rPr>
          <w:lang w:val="en-US"/>
        </w:rPr>
        <w:t>Getahun</w:t>
      </w:r>
      <w:proofErr w:type="spellEnd"/>
      <w:r w:rsidRPr="00C37FF7">
        <w:rPr>
          <w:lang w:val="en-US"/>
        </w:rPr>
        <w:t xml:space="preserve"> H, </w:t>
      </w:r>
      <w:proofErr w:type="spellStart"/>
      <w:r w:rsidRPr="00C37FF7">
        <w:rPr>
          <w:lang w:val="en-US"/>
        </w:rPr>
        <w:t>Matteelli</w:t>
      </w:r>
      <w:proofErr w:type="spellEnd"/>
      <w:r w:rsidRPr="00C37FF7">
        <w:rPr>
          <w:lang w:val="en-US"/>
        </w:rPr>
        <w:t xml:space="preserve"> A, </w:t>
      </w:r>
      <w:proofErr w:type="spellStart"/>
      <w:r w:rsidRPr="00C37FF7">
        <w:rPr>
          <w:lang w:val="en-US"/>
        </w:rPr>
        <w:t>Chaisson</w:t>
      </w:r>
      <w:proofErr w:type="spellEnd"/>
      <w:r w:rsidRPr="00C37FF7">
        <w:rPr>
          <w:lang w:val="en-US"/>
        </w:rPr>
        <w:t xml:space="preserve"> RE, </w:t>
      </w:r>
      <w:proofErr w:type="spellStart"/>
      <w:r w:rsidRPr="00C37FF7">
        <w:rPr>
          <w:lang w:val="en-US"/>
        </w:rPr>
        <w:t>Raviglione</w:t>
      </w:r>
      <w:proofErr w:type="spellEnd"/>
      <w:r w:rsidRPr="00C37FF7">
        <w:rPr>
          <w:lang w:val="en-US"/>
        </w:rPr>
        <w:t xml:space="preserve"> M. Latent </w:t>
      </w:r>
      <w:r w:rsidRPr="00C37FF7">
        <w:rPr>
          <w:i/>
          <w:lang w:val="en-US"/>
        </w:rPr>
        <w:t xml:space="preserve">Mycobacterium </w:t>
      </w:r>
      <w:proofErr w:type="gramStart"/>
      <w:r w:rsidRPr="00C37FF7">
        <w:rPr>
          <w:i/>
          <w:lang w:val="en-US"/>
        </w:rPr>
        <w:t>tuberculosis</w:t>
      </w:r>
      <w:proofErr w:type="gramEnd"/>
      <w:r w:rsidRPr="00C37FF7">
        <w:rPr>
          <w:lang w:val="en-US"/>
        </w:rPr>
        <w:t xml:space="preserve"> Infection. </w:t>
      </w:r>
      <w:r>
        <w:t xml:space="preserve">New </w:t>
      </w:r>
      <w:proofErr w:type="spellStart"/>
      <w:r>
        <w:t>England</w:t>
      </w:r>
      <w:proofErr w:type="spellEnd"/>
      <w:r>
        <w:t xml:space="preserve"> </w:t>
      </w:r>
      <w:proofErr w:type="spellStart"/>
      <w:r>
        <w:t>Journal</w:t>
      </w:r>
      <w:proofErr w:type="spellEnd"/>
      <w:r>
        <w:t xml:space="preserve"> </w:t>
      </w:r>
      <w:proofErr w:type="spellStart"/>
      <w:proofErr w:type="gramStart"/>
      <w:r>
        <w:t>of</w:t>
      </w:r>
      <w:proofErr w:type="spellEnd"/>
      <w:r>
        <w:t xml:space="preserve"> Medicine</w:t>
      </w:r>
      <w:proofErr w:type="gramEnd"/>
      <w:r>
        <w:t>. 2015 May 28;372(22):212</w:t>
      </w:r>
      <w:r>
        <w:t xml:space="preserve">7–35.  </w:t>
      </w:r>
    </w:p>
    <w:p w:rsidR="00E0069E" w:rsidRDefault="00C37FF7">
      <w:pPr>
        <w:numPr>
          <w:ilvl w:val="0"/>
          <w:numId w:val="2"/>
        </w:numPr>
        <w:spacing w:after="274" w:line="259" w:lineRule="auto"/>
        <w:ind w:right="0" w:hanging="640"/>
      </w:pPr>
      <w:r>
        <w:t xml:space="preserve">isoniazida 100 e 300mg (1).  </w:t>
      </w:r>
    </w:p>
    <w:p w:rsidR="00E0069E" w:rsidRDefault="00C37FF7">
      <w:pPr>
        <w:numPr>
          <w:ilvl w:val="0"/>
          <w:numId w:val="2"/>
        </w:numPr>
        <w:spacing w:after="278" w:line="259" w:lineRule="auto"/>
        <w:ind w:right="0" w:hanging="640"/>
      </w:pPr>
      <w:r>
        <w:t xml:space="preserve">rifampicina (1).  </w:t>
      </w:r>
    </w:p>
    <w:p w:rsidR="00E0069E" w:rsidRDefault="00C37FF7">
      <w:pPr>
        <w:numPr>
          <w:ilvl w:val="0"/>
          <w:numId w:val="2"/>
        </w:numPr>
        <w:ind w:right="0" w:hanging="640"/>
      </w:pPr>
      <w:r>
        <w:t xml:space="preserve">Programa de Educação Tutorial (PET-Farmácia). </w:t>
      </w:r>
      <w:proofErr w:type="spellStart"/>
      <w:r>
        <w:t>Priftin</w:t>
      </w:r>
      <w:proofErr w:type="spellEnd"/>
      <w:r>
        <w:t>® (</w:t>
      </w:r>
      <w:proofErr w:type="spellStart"/>
      <w:r>
        <w:t>rifapentina</w:t>
      </w:r>
      <w:proofErr w:type="spellEnd"/>
      <w:r>
        <w:t xml:space="preserve">): Uma nova terapia para infecção latente por Mycobacterium </w:t>
      </w:r>
      <w:proofErr w:type="spellStart"/>
      <w:r>
        <w:t>tuberculosis</w:t>
      </w:r>
      <w:proofErr w:type="spellEnd"/>
      <w:r>
        <w:t xml:space="preserve"> (ILTB). Universidade Federal da Paraíba. 2020.  </w:t>
      </w:r>
    </w:p>
    <w:p w:rsidR="00E0069E" w:rsidRDefault="00C37FF7">
      <w:pPr>
        <w:numPr>
          <w:ilvl w:val="0"/>
          <w:numId w:val="2"/>
        </w:numPr>
        <w:spacing w:after="0"/>
        <w:ind w:right="0" w:hanging="640"/>
      </w:pPr>
      <w:r>
        <w:t>Ministério</w:t>
      </w:r>
      <w:r>
        <w:t xml:space="preserve"> da Saúde. Tratamento mais eficiente no SUS beneficia pacientes com tuberculose. https://www.gov.br/saude/pt-</w:t>
      </w:r>
    </w:p>
    <w:p w:rsidR="00E0069E" w:rsidRDefault="00C37FF7">
      <w:pPr>
        <w:ind w:left="1290" w:right="0"/>
      </w:pPr>
      <w:r>
        <w:t xml:space="preserve">br/assuntos/noticias/2022/fevereiro/tratamento-mais-eficiente-no-sus-beneficiapacientes-com-tuberculose. 2022.  </w:t>
      </w:r>
    </w:p>
    <w:p w:rsidR="00E0069E" w:rsidRDefault="00C37FF7">
      <w:pPr>
        <w:numPr>
          <w:ilvl w:val="0"/>
          <w:numId w:val="2"/>
        </w:numPr>
        <w:ind w:right="0" w:hanging="640"/>
      </w:pPr>
      <w:r w:rsidRPr="00C37FF7">
        <w:rPr>
          <w:lang w:val="en-US"/>
        </w:rPr>
        <w:lastRenderedPageBreak/>
        <w:t xml:space="preserve">Yang H, Park H. Factors influencing the initiation and adherence of LTBI treatment in healthcare workers: a systematic review. </w:t>
      </w:r>
      <w:proofErr w:type="spellStart"/>
      <w:r>
        <w:t>Arch</w:t>
      </w:r>
      <w:proofErr w:type="spellEnd"/>
      <w:r>
        <w:t xml:space="preserve"> </w:t>
      </w:r>
      <w:proofErr w:type="spellStart"/>
      <w:r>
        <w:t>Environ</w:t>
      </w:r>
      <w:proofErr w:type="spellEnd"/>
      <w:r>
        <w:t xml:space="preserve"> </w:t>
      </w:r>
      <w:proofErr w:type="spellStart"/>
      <w:r>
        <w:t>Occup</w:t>
      </w:r>
      <w:proofErr w:type="spellEnd"/>
      <w:r>
        <w:t xml:space="preserve"> Health. 2022 Jan 2;77(1):76–86.  </w:t>
      </w:r>
    </w:p>
    <w:p w:rsidR="00E0069E" w:rsidRDefault="00C37FF7">
      <w:pPr>
        <w:numPr>
          <w:ilvl w:val="0"/>
          <w:numId w:val="2"/>
        </w:numPr>
        <w:ind w:right="0" w:hanging="640"/>
      </w:pPr>
      <w:r w:rsidRPr="00C37FF7">
        <w:rPr>
          <w:lang w:val="en-US"/>
        </w:rPr>
        <w:t xml:space="preserve">Chang SH, </w:t>
      </w:r>
      <w:proofErr w:type="spellStart"/>
      <w:r w:rsidRPr="00C37FF7">
        <w:rPr>
          <w:lang w:val="en-US"/>
        </w:rPr>
        <w:t>Eitzman</w:t>
      </w:r>
      <w:proofErr w:type="spellEnd"/>
      <w:r w:rsidRPr="00C37FF7">
        <w:rPr>
          <w:lang w:val="en-US"/>
        </w:rPr>
        <w:t xml:space="preserve"> SR, Nahid P, </w:t>
      </w:r>
      <w:proofErr w:type="spellStart"/>
      <w:r w:rsidRPr="00C37FF7">
        <w:rPr>
          <w:lang w:val="en-US"/>
        </w:rPr>
        <w:t>Finelli</w:t>
      </w:r>
      <w:proofErr w:type="spellEnd"/>
      <w:r w:rsidRPr="00C37FF7">
        <w:rPr>
          <w:lang w:val="en-US"/>
        </w:rPr>
        <w:t xml:space="preserve"> MLU. Factors associated with failure </w:t>
      </w:r>
      <w:r w:rsidRPr="00C37FF7">
        <w:rPr>
          <w:lang w:val="en-US"/>
        </w:rPr>
        <w:t xml:space="preserve">to complete isoniazid therapy for latent tuberculosis infection in children and adolescents. </w:t>
      </w:r>
      <w:r>
        <w:t xml:space="preserve">J </w:t>
      </w:r>
      <w:proofErr w:type="spellStart"/>
      <w:r>
        <w:t>Infect</w:t>
      </w:r>
      <w:proofErr w:type="spellEnd"/>
      <w:r>
        <w:t xml:space="preserve"> </w:t>
      </w:r>
      <w:proofErr w:type="spellStart"/>
      <w:r>
        <w:t>Public</w:t>
      </w:r>
      <w:proofErr w:type="spellEnd"/>
      <w:r>
        <w:t xml:space="preserve"> Health. 2014 Mar;7(2):145–52.  </w:t>
      </w:r>
    </w:p>
    <w:p w:rsidR="00E0069E" w:rsidRDefault="00C37FF7">
      <w:pPr>
        <w:numPr>
          <w:ilvl w:val="0"/>
          <w:numId w:val="2"/>
        </w:numPr>
        <w:ind w:right="0" w:hanging="640"/>
      </w:pPr>
      <w:r w:rsidRPr="00C37FF7">
        <w:rPr>
          <w:lang w:val="en-US"/>
        </w:rPr>
        <w:t xml:space="preserve">Sterling TR, Moro RN, Borisov AS, Phillips E, Shepherd G, </w:t>
      </w:r>
      <w:proofErr w:type="spellStart"/>
      <w:r w:rsidRPr="00C37FF7">
        <w:rPr>
          <w:lang w:val="en-US"/>
        </w:rPr>
        <w:t>Adkinson</w:t>
      </w:r>
      <w:proofErr w:type="spellEnd"/>
      <w:r w:rsidRPr="00C37FF7">
        <w:rPr>
          <w:lang w:val="en-US"/>
        </w:rPr>
        <w:t xml:space="preserve"> NF, et al. </w:t>
      </w:r>
      <w:proofErr w:type="spellStart"/>
      <w:r>
        <w:t>Flu-like</w:t>
      </w:r>
      <w:proofErr w:type="spellEnd"/>
      <w:r>
        <w:t xml:space="preserve"> </w:t>
      </w:r>
      <w:proofErr w:type="spellStart"/>
      <w:r>
        <w:t>and</w:t>
      </w:r>
      <w:proofErr w:type="spellEnd"/>
      <w:r>
        <w:t xml:space="preserve"> </w:t>
      </w:r>
      <w:proofErr w:type="spellStart"/>
      <w:r>
        <w:t>Other</w:t>
      </w:r>
      <w:proofErr w:type="spellEnd"/>
      <w:r>
        <w:t xml:space="preserve"> </w:t>
      </w:r>
      <w:proofErr w:type="spellStart"/>
      <w:r>
        <w:t>Systemic</w:t>
      </w:r>
      <w:proofErr w:type="spellEnd"/>
      <w:r>
        <w:t xml:space="preserve"> </w:t>
      </w:r>
      <w:proofErr w:type="spellStart"/>
      <w:r>
        <w:t>Drug</w:t>
      </w:r>
      <w:proofErr w:type="spellEnd"/>
      <w:r>
        <w:t xml:space="preserve"> </w:t>
      </w:r>
      <w:proofErr w:type="spellStart"/>
      <w:r>
        <w:t>Reac</w:t>
      </w:r>
      <w:r>
        <w:t>tions</w:t>
      </w:r>
      <w:proofErr w:type="spellEnd"/>
      <w:r>
        <w:t xml:space="preserve"> </w:t>
      </w:r>
      <w:proofErr w:type="spellStart"/>
      <w:r>
        <w:t>Among</w:t>
      </w:r>
      <w:proofErr w:type="spellEnd"/>
      <w:r>
        <w:t xml:space="preserve"> </w:t>
      </w:r>
      <w:proofErr w:type="spellStart"/>
      <w:r>
        <w:t>Persons</w:t>
      </w:r>
      <w:proofErr w:type="spellEnd"/>
      <w:r>
        <w:t xml:space="preserve"> </w:t>
      </w:r>
      <w:proofErr w:type="spellStart"/>
      <w:r>
        <w:t>Receiving</w:t>
      </w:r>
      <w:proofErr w:type="spellEnd"/>
      <w:r>
        <w:t xml:space="preserve"> </w:t>
      </w:r>
      <w:proofErr w:type="spellStart"/>
      <w:r>
        <w:t>Weekly</w:t>
      </w:r>
      <w:proofErr w:type="spellEnd"/>
      <w:r>
        <w:t xml:space="preserve"> </w:t>
      </w:r>
      <w:proofErr w:type="spellStart"/>
      <w:r>
        <w:t>Rifapentine</w:t>
      </w:r>
      <w:proofErr w:type="spellEnd"/>
      <w:r>
        <w:t xml:space="preserve"> Plus </w:t>
      </w:r>
      <w:proofErr w:type="spellStart"/>
      <w:r>
        <w:t>Isoniazid</w:t>
      </w:r>
      <w:proofErr w:type="spellEnd"/>
      <w:r>
        <w:t xml:space="preserve"> </w:t>
      </w:r>
      <w:proofErr w:type="spellStart"/>
      <w:r>
        <w:t>or</w:t>
      </w:r>
      <w:proofErr w:type="spellEnd"/>
      <w:r>
        <w:t xml:space="preserve"> Daily </w:t>
      </w:r>
      <w:proofErr w:type="spellStart"/>
      <w:r>
        <w:t>Isoniazid</w:t>
      </w:r>
      <w:proofErr w:type="spellEnd"/>
      <w:r>
        <w:t xml:space="preserve"> for </w:t>
      </w:r>
      <w:proofErr w:type="spellStart"/>
      <w:r>
        <w:t>Treatment</w:t>
      </w:r>
      <w:proofErr w:type="spellEnd"/>
      <w:r>
        <w:t xml:space="preserve"> </w:t>
      </w:r>
      <w:proofErr w:type="spellStart"/>
      <w:r>
        <w:t>of</w:t>
      </w:r>
      <w:proofErr w:type="spellEnd"/>
      <w:r>
        <w:t xml:space="preserve"> </w:t>
      </w:r>
      <w:proofErr w:type="spellStart"/>
      <w:r>
        <w:t>Latent</w:t>
      </w:r>
      <w:proofErr w:type="spellEnd"/>
      <w:r>
        <w:t xml:space="preserve"> </w:t>
      </w:r>
      <w:proofErr w:type="spellStart"/>
      <w:r>
        <w:t>Tuberculosis</w:t>
      </w:r>
      <w:proofErr w:type="spellEnd"/>
      <w:r>
        <w:t xml:space="preserve"> </w:t>
      </w:r>
      <w:proofErr w:type="spellStart"/>
      <w:r>
        <w:t>Infection</w:t>
      </w:r>
      <w:proofErr w:type="spellEnd"/>
      <w:r>
        <w:t xml:space="preserve"> in </w:t>
      </w:r>
      <w:proofErr w:type="spellStart"/>
      <w:r>
        <w:t>the</w:t>
      </w:r>
      <w:proofErr w:type="spellEnd"/>
      <w:r>
        <w:t xml:space="preserve"> PREVENT </w:t>
      </w:r>
      <w:proofErr w:type="spellStart"/>
      <w:r>
        <w:t>Tuberculosis</w:t>
      </w:r>
      <w:proofErr w:type="spellEnd"/>
      <w:r>
        <w:t xml:space="preserve"> </w:t>
      </w:r>
      <w:proofErr w:type="spellStart"/>
      <w:r>
        <w:t>Study</w:t>
      </w:r>
      <w:proofErr w:type="spellEnd"/>
      <w:r>
        <w:t xml:space="preserve">. </w:t>
      </w:r>
      <w:proofErr w:type="spellStart"/>
      <w:r>
        <w:t>Clinical</w:t>
      </w:r>
      <w:proofErr w:type="spellEnd"/>
      <w:r>
        <w:t xml:space="preserve"> </w:t>
      </w:r>
      <w:proofErr w:type="spellStart"/>
      <w:r>
        <w:t>Infectious</w:t>
      </w:r>
      <w:proofErr w:type="spellEnd"/>
      <w:r>
        <w:t xml:space="preserve"> </w:t>
      </w:r>
      <w:proofErr w:type="spellStart"/>
      <w:r>
        <w:t>Diseases</w:t>
      </w:r>
      <w:proofErr w:type="spellEnd"/>
      <w:r>
        <w:t xml:space="preserve">. 2015 </w:t>
      </w:r>
      <w:proofErr w:type="spellStart"/>
      <w:r>
        <w:t>Aug</w:t>
      </w:r>
      <w:proofErr w:type="spellEnd"/>
      <w:r>
        <w:t xml:space="preserve"> 15;61(4):527–35.  </w:t>
      </w:r>
    </w:p>
    <w:p w:rsidR="00E0069E" w:rsidRDefault="00C37FF7">
      <w:pPr>
        <w:numPr>
          <w:ilvl w:val="0"/>
          <w:numId w:val="2"/>
        </w:numPr>
        <w:ind w:right="0" w:hanging="640"/>
      </w:pPr>
      <w:proofErr w:type="spellStart"/>
      <w:r>
        <w:t>Sandul</w:t>
      </w:r>
      <w:proofErr w:type="spellEnd"/>
      <w:r>
        <w:t xml:space="preserve"> AL, </w:t>
      </w:r>
      <w:proofErr w:type="spellStart"/>
      <w:r>
        <w:t>Nwana</w:t>
      </w:r>
      <w:proofErr w:type="spellEnd"/>
      <w:r>
        <w:t xml:space="preserve"> N, </w:t>
      </w:r>
      <w:proofErr w:type="spellStart"/>
      <w:r>
        <w:t>Holcombe</w:t>
      </w:r>
      <w:proofErr w:type="spellEnd"/>
      <w:r>
        <w:t xml:space="preserve"> JM, </w:t>
      </w:r>
      <w:r>
        <w:t xml:space="preserve">Lobato MN, </w:t>
      </w:r>
      <w:proofErr w:type="spellStart"/>
      <w:r>
        <w:t>Marks</w:t>
      </w:r>
      <w:proofErr w:type="spellEnd"/>
      <w:r>
        <w:t xml:space="preserve"> S, </w:t>
      </w:r>
      <w:proofErr w:type="spellStart"/>
      <w:r>
        <w:t>Webb</w:t>
      </w:r>
      <w:proofErr w:type="spellEnd"/>
      <w:r>
        <w:t xml:space="preserve"> R, et al. High Rate </w:t>
      </w:r>
      <w:proofErr w:type="spellStart"/>
      <w:r>
        <w:t>of</w:t>
      </w:r>
      <w:proofErr w:type="spellEnd"/>
      <w:r>
        <w:t xml:space="preserve"> </w:t>
      </w:r>
      <w:proofErr w:type="spellStart"/>
      <w:r>
        <w:t>Treatment</w:t>
      </w:r>
      <w:proofErr w:type="spellEnd"/>
      <w:r>
        <w:t xml:space="preserve"> </w:t>
      </w:r>
      <w:proofErr w:type="spellStart"/>
      <w:r>
        <w:t>Completion</w:t>
      </w:r>
      <w:proofErr w:type="spellEnd"/>
      <w:r>
        <w:t xml:space="preserve"> in </w:t>
      </w:r>
      <w:proofErr w:type="spellStart"/>
      <w:r>
        <w:t>Program</w:t>
      </w:r>
      <w:proofErr w:type="spellEnd"/>
      <w:r>
        <w:t xml:space="preserve"> Settings </w:t>
      </w:r>
      <w:proofErr w:type="spellStart"/>
      <w:r>
        <w:t>With</w:t>
      </w:r>
      <w:proofErr w:type="spellEnd"/>
      <w:r>
        <w:t xml:space="preserve"> 12-Dose </w:t>
      </w:r>
      <w:proofErr w:type="spellStart"/>
      <w:r>
        <w:t>Weekly</w:t>
      </w:r>
      <w:proofErr w:type="spellEnd"/>
      <w:r>
        <w:t xml:space="preserve"> </w:t>
      </w:r>
      <w:proofErr w:type="spellStart"/>
      <w:r>
        <w:t>Isoniazid</w:t>
      </w:r>
      <w:proofErr w:type="spellEnd"/>
      <w:r>
        <w:t xml:space="preserve"> </w:t>
      </w:r>
      <w:proofErr w:type="spellStart"/>
      <w:r>
        <w:t>and</w:t>
      </w:r>
      <w:proofErr w:type="spellEnd"/>
      <w:r>
        <w:t xml:space="preserve"> </w:t>
      </w:r>
      <w:proofErr w:type="spellStart"/>
      <w:r>
        <w:t>Rifapentine</w:t>
      </w:r>
      <w:proofErr w:type="spellEnd"/>
      <w:r>
        <w:t xml:space="preserve"> for </w:t>
      </w:r>
      <w:proofErr w:type="spellStart"/>
      <w:r>
        <w:t>Latent</w:t>
      </w:r>
      <w:proofErr w:type="spellEnd"/>
      <w:r>
        <w:t xml:space="preserve"> Mycobacterium </w:t>
      </w:r>
      <w:proofErr w:type="spellStart"/>
      <w:r>
        <w:t>tuberculosis</w:t>
      </w:r>
      <w:proofErr w:type="spellEnd"/>
      <w:r>
        <w:t xml:space="preserve"> </w:t>
      </w:r>
      <w:proofErr w:type="spellStart"/>
      <w:r>
        <w:t>Infection</w:t>
      </w:r>
      <w:proofErr w:type="spellEnd"/>
      <w:r>
        <w:t xml:space="preserve">. </w:t>
      </w:r>
      <w:proofErr w:type="spellStart"/>
      <w:r>
        <w:t>Clinical</w:t>
      </w:r>
      <w:proofErr w:type="spellEnd"/>
      <w:r>
        <w:t xml:space="preserve"> </w:t>
      </w:r>
      <w:proofErr w:type="spellStart"/>
      <w:r>
        <w:t>Infectious</w:t>
      </w:r>
      <w:proofErr w:type="spellEnd"/>
      <w:r>
        <w:t xml:space="preserve"> </w:t>
      </w:r>
      <w:proofErr w:type="spellStart"/>
      <w:r>
        <w:t>Diseases</w:t>
      </w:r>
      <w:proofErr w:type="spellEnd"/>
      <w:r>
        <w:t xml:space="preserve">. 2017 </w:t>
      </w:r>
      <w:proofErr w:type="spellStart"/>
      <w:r>
        <w:t>Oct</w:t>
      </w:r>
      <w:proofErr w:type="spellEnd"/>
      <w:r>
        <w:t xml:space="preserve"> 1;65(7):1085–93.  </w:t>
      </w:r>
    </w:p>
    <w:p w:rsidR="00E0069E" w:rsidRDefault="00C37FF7">
      <w:pPr>
        <w:numPr>
          <w:ilvl w:val="0"/>
          <w:numId w:val="2"/>
        </w:numPr>
        <w:ind w:right="0" w:hanging="640"/>
      </w:pPr>
      <w:proofErr w:type="spellStart"/>
      <w:r>
        <w:t>Simkins</w:t>
      </w:r>
      <w:proofErr w:type="spellEnd"/>
      <w:r>
        <w:t xml:space="preserve"> J, </w:t>
      </w:r>
      <w:proofErr w:type="spellStart"/>
      <w:r>
        <w:t>Abb</w:t>
      </w:r>
      <w:r>
        <w:t>o</w:t>
      </w:r>
      <w:proofErr w:type="spellEnd"/>
      <w:r>
        <w:t xml:space="preserve"> LM, Camargo JF, Rosa R, Morris MI. </w:t>
      </w:r>
      <w:proofErr w:type="spellStart"/>
      <w:r>
        <w:t>Twelve</w:t>
      </w:r>
      <w:proofErr w:type="spellEnd"/>
      <w:r>
        <w:t xml:space="preserve">-Week </w:t>
      </w:r>
      <w:proofErr w:type="spellStart"/>
      <w:r>
        <w:t>Rifapentine</w:t>
      </w:r>
      <w:proofErr w:type="spellEnd"/>
      <w:r>
        <w:t xml:space="preserve"> Plus </w:t>
      </w:r>
      <w:proofErr w:type="spellStart"/>
      <w:r>
        <w:t>Isoniazid</w:t>
      </w:r>
      <w:proofErr w:type="spellEnd"/>
      <w:r>
        <w:t xml:space="preserve"> Versus 9-Month </w:t>
      </w:r>
      <w:proofErr w:type="spellStart"/>
      <w:r>
        <w:t>Isoniazid</w:t>
      </w:r>
      <w:proofErr w:type="spellEnd"/>
      <w:r>
        <w:t xml:space="preserve"> for </w:t>
      </w:r>
      <w:proofErr w:type="spellStart"/>
      <w:r>
        <w:t>the</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Latent</w:t>
      </w:r>
      <w:proofErr w:type="spellEnd"/>
      <w:r>
        <w:t xml:space="preserve"> </w:t>
      </w:r>
      <w:proofErr w:type="spellStart"/>
      <w:r>
        <w:t>Tuberculosis</w:t>
      </w:r>
      <w:proofErr w:type="spellEnd"/>
      <w:r>
        <w:t xml:space="preserve"> in Renal </w:t>
      </w:r>
      <w:proofErr w:type="spellStart"/>
      <w:r>
        <w:t>Transplant</w:t>
      </w:r>
      <w:proofErr w:type="spellEnd"/>
      <w:r>
        <w:t xml:space="preserve"> Candidates. </w:t>
      </w:r>
      <w:proofErr w:type="spellStart"/>
      <w:r>
        <w:t>Transplantation</w:t>
      </w:r>
      <w:proofErr w:type="spellEnd"/>
      <w:r>
        <w:t xml:space="preserve">. 2017 Jun;101(6):1468–72.  </w:t>
      </w:r>
    </w:p>
    <w:p w:rsidR="00E0069E" w:rsidRDefault="00C37FF7">
      <w:pPr>
        <w:numPr>
          <w:ilvl w:val="0"/>
          <w:numId w:val="2"/>
        </w:numPr>
        <w:ind w:right="0" w:hanging="640"/>
      </w:pPr>
      <w:proofErr w:type="spellStart"/>
      <w:r w:rsidRPr="00C37FF7">
        <w:rPr>
          <w:lang w:val="en-US"/>
        </w:rPr>
        <w:t>Nwana</w:t>
      </w:r>
      <w:proofErr w:type="spellEnd"/>
      <w:r w:rsidRPr="00C37FF7">
        <w:rPr>
          <w:lang w:val="en-US"/>
        </w:rPr>
        <w:t xml:space="preserve"> N, Marks SM, Lan E, Chang AH, Ho</w:t>
      </w:r>
      <w:r w:rsidRPr="00C37FF7">
        <w:rPr>
          <w:lang w:val="en-US"/>
        </w:rPr>
        <w:t xml:space="preserve">lcombe M, Morris SB. </w:t>
      </w:r>
      <w:proofErr w:type="spellStart"/>
      <w:r>
        <w:t>Treatment</w:t>
      </w:r>
      <w:proofErr w:type="spellEnd"/>
      <w:r>
        <w:t xml:space="preserve"> </w:t>
      </w:r>
      <w:proofErr w:type="spellStart"/>
      <w:r>
        <w:t>of</w:t>
      </w:r>
      <w:proofErr w:type="spellEnd"/>
      <w:r>
        <w:t xml:space="preserve"> </w:t>
      </w:r>
      <w:proofErr w:type="spellStart"/>
      <w:r>
        <w:t>latent</w:t>
      </w:r>
      <w:proofErr w:type="spellEnd"/>
      <w:r>
        <w:t xml:space="preserve"> Mycobacterium </w:t>
      </w:r>
      <w:proofErr w:type="spellStart"/>
      <w:r>
        <w:t>tuberculosis</w:t>
      </w:r>
      <w:proofErr w:type="spellEnd"/>
      <w:r>
        <w:t xml:space="preserve"> </w:t>
      </w:r>
      <w:proofErr w:type="spellStart"/>
      <w:r>
        <w:t>infection</w:t>
      </w:r>
      <w:proofErr w:type="spellEnd"/>
      <w:r>
        <w:t xml:space="preserve"> </w:t>
      </w:r>
      <w:proofErr w:type="spellStart"/>
      <w:r>
        <w:t>with</w:t>
      </w:r>
      <w:proofErr w:type="spellEnd"/>
      <w:r>
        <w:t xml:space="preserve"> 12 </w:t>
      </w:r>
      <w:proofErr w:type="spellStart"/>
      <w:r>
        <w:t>once</w:t>
      </w:r>
      <w:proofErr w:type="spellEnd"/>
      <w:r>
        <w:t xml:space="preserve"> </w:t>
      </w:r>
      <w:proofErr w:type="spellStart"/>
      <w:r>
        <w:t>weekly</w:t>
      </w:r>
      <w:proofErr w:type="spellEnd"/>
      <w:r>
        <w:t xml:space="preserve"> </w:t>
      </w:r>
      <w:proofErr w:type="spellStart"/>
      <w:r>
        <w:t>directlyobserved</w:t>
      </w:r>
      <w:proofErr w:type="spellEnd"/>
      <w:r>
        <w:t xml:space="preserve"> doses </w:t>
      </w:r>
      <w:proofErr w:type="spellStart"/>
      <w:r>
        <w:t>of</w:t>
      </w:r>
      <w:proofErr w:type="spellEnd"/>
      <w:r>
        <w:t xml:space="preserve"> </w:t>
      </w:r>
      <w:proofErr w:type="spellStart"/>
      <w:r>
        <w:t>isoniazid</w:t>
      </w:r>
      <w:proofErr w:type="spellEnd"/>
      <w:r>
        <w:t xml:space="preserve"> </w:t>
      </w:r>
      <w:proofErr w:type="spellStart"/>
      <w:r>
        <w:t>and</w:t>
      </w:r>
      <w:proofErr w:type="spellEnd"/>
      <w:r>
        <w:t xml:space="preserve"> </w:t>
      </w:r>
      <w:proofErr w:type="spellStart"/>
      <w:r>
        <w:t>rifapentine</w:t>
      </w:r>
      <w:proofErr w:type="spellEnd"/>
      <w:r>
        <w:t xml:space="preserve"> </w:t>
      </w:r>
      <w:proofErr w:type="spellStart"/>
      <w:r>
        <w:t>among</w:t>
      </w:r>
      <w:proofErr w:type="spellEnd"/>
      <w:r>
        <w:t xml:space="preserve"> </w:t>
      </w:r>
      <w:proofErr w:type="spellStart"/>
      <w:r>
        <w:t>persons</w:t>
      </w:r>
      <w:proofErr w:type="spellEnd"/>
      <w:r>
        <w:t xml:space="preserve"> </w:t>
      </w:r>
      <w:proofErr w:type="spellStart"/>
      <w:r>
        <w:t>experiencing</w:t>
      </w:r>
      <w:proofErr w:type="spellEnd"/>
      <w:r>
        <w:t xml:space="preserve"> </w:t>
      </w:r>
      <w:proofErr w:type="spellStart"/>
      <w:r>
        <w:t>homelessness</w:t>
      </w:r>
      <w:proofErr w:type="spellEnd"/>
      <w:r>
        <w:t xml:space="preserve">. </w:t>
      </w:r>
      <w:proofErr w:type="spellStart"/>
      <w:r>
        <w:t>PLoS</w:t>
      </w:r>
      <w:proofErr w:type="spellEnd"/>
      <w:r>
        <w:t xml:space="preserve"> </w:t>
      </w:r>
      <w:proofErr w:type="spellStart"/>
      <w:r>
        <w:t>One</w:t>
      </w:r>
      <w:proofErr w:type="spellEnd"/>
      <w:r>
        <w:t xml:space="preserve">. 2019 Mar 13;14(3):e0213524.  </w:t>
      </w:r>
    </w:p>
    <w:p w:rsidR="00E0069E" w:rsidRPr="00C37FF7" w:rsidRDefault="00C37FF7">
      <w:pPr>
        <w:numPr>
          <w:ilvl w:val="0"/>
          <w:numId w:val="2"/>
        </w:numPr>
        <w:spacing w:after="118" w:line="259" w:lineRule="auto"/>
        <w:ind w:right="0" w:hanging="640"/>
        <w:rPr>
          <w:lang w:val="en-US"/>
        </w:rPr>
      </w:pPr>
      <w:r w:rsidRPr="00C37FF7">
        <w:rPr>
          <w:lang w:val="en-US"/>
        </w:rPr>
        <w:t>Sun HY, Huang YW, Huang W</w:t>
      </w:r>
      <w:r w:rsidRPr="00C37FF7">
        <w:rPr>
          <w:lang w:val="en-US"/>
        </w:rPr>
        <w:t xml:space="preserve">C, Chang LY, Chan PC, Chuang YC, et al. </w:t>
      </w:r>
    </w:p>
    <w:p w:rsidR="00E0069E" w:rsidRDefault="00C37FF7">
      <w:pPr>
        <w:ind w:left="1290" w:right="0"/>
      </w:pPr>
      <w:r w:rsidRPr="00C37FF7">
        <w:rPr>
          <w:lang w:val="en-US"/>
        </w:rPr>
        <w:t xml:space="preserve">Twelve-dose weekly rifapentine plus isoniazid for latent tuberculosis infection: A </w:t>
      </w:r>
      <w:proofErr w:type="spellStart"/>
      <w:r w:rsidRPr="00C37FF7">
        <w:rPr>
          <w:lang w:val="en-US"/>
        </w:rPr>
        <w:t>multicentre</w:t>
      </w:r>
      <w:proofErr w:type="spellEnd"/>
      <w:r w:rsidRPr="00C37FF7">
        <w:rPr>
          <w:lang w:val="en-US"/>
        </w:rPr>
        <w:t xml:space="preserve"> </w:t>
      </w:r>
      <w:proofErr w:type="spellStart"/>
      <w:r w:rsidRPr="00C37FF7">
        <w:rPr>
          <w:lang w:val="en-US"/>
        </w:rPr>
        <w:t>randomised</w:t>
      </w:r>
      <w:proofErr w:type="spellEnd"/>
      <w:r w:rsidRPr="00C37FF7">
        <w:rPr>
          <w:lang w:val="en-US"/>
        </w:rPr>
        <w:t xml:space="preserve"> controlled trial in Taiwan. </w:t>
      </w:r>
      <w:proofErr w:type="spellStart"/>
      <w:r>
        <w:t>Tuberculosis</w:t>
      </w:r>
      <w:proofErr w:type="spellEnd"/>
      <w:r>
        <w:t xml:space="preserve">. 2018 </w:t>
      </w:r>
      <w:proofErr w:type="gramStart"/>
      <w:r>
        <w:t>Jul;111:121</w:t>
      </w:r>
      <w:proofErr w:type="gramEnd"/>
      <w:r>
        <w:t xml:space="preserve">–6.  </w:t>
      </w:r>
    </w:p>
    <w:p w:rsidR="00E0069E" w:rsidRDefault="00C37FF7">
      <w:pPr>
        <w:numPr>
          <w:ilvl w:val="0"/>
          <w:numId w:val="2"/>
        </w:numPr>
        <w:ind w:right="0" w:hanging="640"/>
      </w:pPr>
      <w:r w:rsidRPr="00C37FF7">
        <w:rPr>
          <w:lang w:val="en-US"/>
        </w:rPr>
        <w:t xml:space="preserve">Feng JY, Huang WC, Lin SM, Wang TY, Lee SS </w:t>
      </w:r>
      <w:proofErr w:type="spellStart"/>
      <w:r w:rsidRPr="00C37FF7">
        <w:rPr>
          <w:lang w:val="en-US"/>
        </w:rPr>
        <w:t>ju</w:t>
      </w:r>
      <w:r w:rsidRPr="00C37FF7">
        <w:rPr>
          <w:lang w:val="en-US"/>
        </w:rPr>
        <w:t>ng</w:t>
      </w:r>
      <w:proofErr w:type="spellEnd"/>
      <w:r w:rsidRPr="00C37FF7">
        <w:rPr>
          <w:lang w:val="en-US"/>
        </w:rPr>
        <w:t xml:space="preserve">, Shu CC, et al. </w:t>
      </w:r>
      <w:proofErr w:type="spellStart"/>
      <w:r>
        <w:t>Safety</w:t>
      </w:r>
      <w:proofErr w:type="spellEnd"/>
      <w:r>
        <w:t xml:space="preserve"> </w:t>
      </w:r>
      <w:proofErr w:type="spellStart"/>
      <w:r>
        <w:t>and</w:t>
      </w:r>
      <w:proofErr w:type="spellEnd"/>
      <w:r>
        <w:t xml:space="preserve"> </w:t>
      </w:r>
      <w:proofErr w:type="spellStart"/>
      <w:r>
        <w:t>treatment</w:t>
      </w:r>
      <w:proofErr w:type="spellEnd"/>
      <w:r>
        <w:t xml:space="preserve"> </w:t>
      </w:r>
      <w:proofErr w:type="spellStart"/>
      <w:r>
        <w:t>completion</w:t>
      </w:r>
      <w:proofErr w:type="spellEnd"/>
      <w:r>
        <w:t xml:space="preserve"> </w:t>
      </w:r>
      <w:proofErr w:type="spellStart"/>
      <w:r>
        <w:t>of</w:t>
      </w:r>
      <w:proofErr w:type="spellEnd"/>
      <w:r>
        <w:t xml:space="preserve"> </w:t>
      </w:r>
      <w:proofErr w:type="spellStart"/>
      <w:r>
        <w:t>latent</w:t>
      </w:r>
      <w:proofErr w:type="spellEnd"/>
      <w:r>
        <w:t xml:space="preserve"> </w:t>
      </w:r>
      <w:proofErr w:type="spellStart"/>
      <w:r>
        <w:t>tuberculosis</w:t>
      </w:r>
      <w:proofErr w:type="spellEnd"/>
      <w:r>
        <w:t xml:space="preserve"> </w:t>
      </w:r>
      <w:proofErr w:type="spellStart"/>
      <w:r>
        <w:t>infection</w:t>
      </w:r>
      <w:proofErr w:type="spellEnd"/>
      <w:r>
        <w:t xml:space="preserve"> </w:t>
      </w:r>
      <w:proofErr w:type="spellStart"/>
      <w:r>
        <w:t>treatment</w:t>
      </w:r>
      <w:proofErr w:type="spellEnd"/>
      <w:r>
        <w:t xml:space="preserve"> in </w:t>
      </w:r>
      <w:proofErr w:type="spellStart"/>
      <w:r>
        <w:t>the</w:t>
      </w:r>
      <w:proofErr w:type="spellEnd"/>
      <w:r>
        <w:t xml:space="preserve"> </w:t>
      </w:r>
      <w:proofErr w:type="spellStart"/>
      <w:r>
        <w:t>elderly</w:t>
      </w:r>
      <w:proofErr w:type="spellEnd"/>
      <w:r>
        <w:t xml:space="preserve"> </w:t>
      </w:r>
      <w:proofErr w:type="spellStart"/>
      <w:r>
        <w:t>population</w:t>
      </w:r>
      <w:proofErr w:type="spellEnd"/>
      <w:r>
        <w:t xml:space="preserve">—A </w:t>
      </w:r>
      <w:proofErr w:type="spellStart"/>
      <w:r>
        <w:t>prospective</w:t>
      </w:r>
      <w:proofErr w:type="spellEnd"/>
      <w:r>
        <w:t xml:space="preserve"> </w:t>
      </w:r>
      <w:proofErr w:type="spellStart"/>
      <w:r>
        <w:t>observational</w:t>
      </w:r>
      <w:proofErr w:type="spellEnd"/>
      <w:r>
        <w:t xml:space="preserve"> </w:t>
      </w:r>
      <w:proofErr w:type="spellStart"/>
      <w:r>
        <w:t>study</w:t>
      </w:r>
      <w:proofErr w:type="spellEnd"/>
      <w:r>
        <w:t xml:space="preserve"> in Taiwan.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Infectious</w:t>
      </w:r>
      <w:proofErr w:type="spellEnd"/>
      <w:r>
        <w:t xml:space="preserve"> </w:t>
      </w:r>
      <w:proofErr w:type="spellStart"/>
      <w:r>
        <w:t>Diseases</w:t>
      </w:r>
      <w:proofErr w:type="spellEnd"/>
      <w:r>
        <w:t xml:space="preserve">. 2020 </w:t>
      </w:r>
      <w:proofErr w:type="gramStart"/>
      <w:r>
        <w:t>Jul;96:550</w:t>
      </w:r>
      <w:proofErr w:type="gramEnd"/>
      <w:r>
        <w:t xml:space="preserve">–7.  </w:t>
      </w:r>
    </w:p>
    <w:p w:rsidR="00E0069E" w:rsidRDefault="00C37FF7">
      <w:pPr>
        <w:numPr>
          <w:ilvl w:val="0"/>
          <w:numId w:val="2"/>
        </w:numPr>
        <w:ind w:right="0" w:hanging="640"/>
      </w:pPr>
      <w:r w:rsidRPr="00C37FF7">
        <w:rPr>
          <w:lang w:val="en-US"/>
        </w:rPr>
        <w:lastRenderedPageBreak/>
        <w:t>Lin SY, Feng JY, Lee CY,</w:t>
      </w:r>
      <w:r w:rsidRPr="00C37FF7">
        <w:rPr>
          <w:lang w:val="en-US"/>
        </w:rPr>
        <w:t xml:space="preserve"> Lin YC, Chou YH, Lin KY, et al. </w:t>
      </w:r>
      <w:proofErr w:type="spellStart"/>
      <w:r>
        <w:t>Completion</w:t>
      </w:r>
      <w:proofErr w:type="spellEnd"/>
      <w:r>
        <w:t xml:space="preserve"> </w:t>
      </w:r>
      <w:proofErr w:type="spellStart"/>
      <w:r>
        <w:t>and</w:t>
      </w:r>
      <w:proofErr w:type="spellEnd"/>
      <w:r>
        <w:t xml:space="preserve"> Adverse </w:t>
      </w:r>
      <w:proofErr w:type="spellStart"/>
      <w:r>
        <w:t>Drug</w:t>
      </w:r>
      <w:proofErr w:type="spellEnd"/>
      <w:r>
        <w:t xml:space="preserve"> </w:t>
      </w:r>
      <w:proofErr w:type="spellStart"/>
      <w:r>
        <w:t>Events</w:t>
      </w:r>
      <w:proofErr w:type="spellEnd"/>
      <w:r>
        <w:t xml:space="preserve"> </w:t>
      </w:r>
      <w:proofErr w:type="spellStart"/>
      <w:r>
        <w:t>of</w:t>
      </w:r>
      <w:proofErr w:type="spellEnd"/>
      <w:r>
        <w:t xml:space="preserve"> </w:t>
      </w:r>
      <w:proofErr w:type="spellStart"/>
      <w:r>
        <w:t>Latent</w:t>
      </w:r>
      <w:proofErr w:type="spellEnd"/>
      <w:r>
        <w:t xml:space="preserve"> </w:t>
      </w:r>
      <w:proofErr w:type="spellStart"/>
      <w:r>
        <w:t>Tuberculosis</w:t>
      </w:r>
      <w:proofErr w:type="spellEnd"/>
      <w:r>
        <w:t xml:space="preserve"> </w:t>
      </w:r>
      <w:proofErr w:type="spellStart"/>
      <w:r>
        <w:t>Infection</w:t>
      </w:r>
      <w:proofErr w:type="spellEnd"/>
      <w:r>
        <w:t xml:space="preserve"> </w:t>
      </w:r>
      <w:proofErr w:type="spellStart"/>
      <w:r>
        <w:t>Treatment</w:t>
      </w:r>
      <w:proofErr w:type="spellEnd"/>
      <w:r>
        <w:t xml:space="preserve"> in </w:t>
      </w:r>
      <w:proofErr w:type="spellStart"/>
      <w:r>
        <w:t>Patients</w:t>
      </w:r>
      <w:proofErr w:type="spellEnd"/>
      <w:r>
        <w:t xml:space="preserve"> </w:t>
      </w:r>
      <w:proofErr w:type="spellStart"/>
      <w:r>
        <w:t>Receiving</w:t>
      </w:r>
      <w:proofErr w:type="spellEnd"/>
      <w:r>
        <w:t xml:space="preserve"> </w:t>
      </w:r>
      <w:proofErr w:type="spellStart"/>
      <w:r>
        <w:t>Dialysis</w:t>
      </w:r>
      <w:proofErr w:type="spellEnd"/>
      <w:r>
        <w:t xml:space="preserve">: </w:t>
      </w:r>
      <w:proofErr w:type="spellStart"/>
      <w:r>
        <w:t>Predictors</w:t>
      </w:r>
      <w:proofErr w:type="spellEnd"/>
      <w:r>
        <w:t xml:space="preserve"> </w:t>
      </w:r>
      <w:proofErr w:type="spellStart"/>
      <w:r>
        <w:t>and</w:t>
      </w:r>
      <w:proofErr w:type="spellEnd"/>
      <w:r>
        <w:t xml:space="preserve"> </w:t>
      </w:r>
      <w:proofErr w:type="spellStart"/>
      <w:r>
        <w:t>Impacts</w:t>
      </w:r>
      <w:proofErr w:type="spellEnd"/>
      <w:r>
        <w:t xml:space="preserve"> </w:t>
      </w:r>
      <w:proofErr w:type="spellStart"/>
      <w:r>
        <w:t>of</w:t>
      </w:r>
      <w:proofErr w:type="spellEnd"/>
      <w:r>
        <w:t xml:space="preserve"> </w:t>
      </w:r>
      <w:proofErr w:type="spellStart"/>
      <w:r>
        <w:t>Different</w:t>
      </w:r>
      <w:proofErr w:type="spellEnd"/>
      <w:r>
        <w:t xml:space="preserve"> </w:t>
      </w:r>
      <w:proofErr w:type="spellStart"/>
      <w:r>
        <w:t>Regimens</w:t>
      </w:r>
      <w:proofErr w:type="spellEnd"/>
      <w:r>
        <w:t xml:space="preserve"> in a </w:t>
      </w:r>
      <w:proofErr w:type="spellStart"/>
      <w:r>
        <w:t>Prospective</w:t>
      </w:r>
      <w:proofErr w:type="spellEnd"/>
      <w:r>
        <w:t xml:space="preserve"> </w:t>
      </w:r>
      <w:proofErr w:type="spellStart"/>
      <w:r>
        <w:t>Cohort</w:t>
      </w:r>
      <w:proofErr w:type="spellEnd"/>
      <w:r>
        <w:t xml:space="preserve"> </w:t>
      </w:r>
      <w:proofErr w:type="spellStart"/>
      <w:r>
        <w:t>Study</w:t>
      </w:r>
      <w:proofErr w:type="spellEnd"/>
      <w:r>
        <w:t xml:space="preserve">. </w:t>
      </w:r>
      <w:proofErr w:type="spellStart"/>
      <w:r>
        <w:t>Antimicrob</w:t>
      </w:r>
      <w:proofErr w:type="spellEnd"/>
      <w:r>
        <w:t xml:space="preserve"> </w:t>
      </w:r>
      <w:proofErr w:type="spellStart"/>
      <w:r>
        <w:t>Agents</w:t>
      </w:r>
      <w:proofErr w:type="spellEnd"/>
      <w:r>
        <w:t xml:space="preserve"> </w:t>
      </w:r>
      <w:proofErr w:type="spellStart"/>
      <w:r>
        <w:t>Chemother</w:t>
      </w:r>
      <w:proofErr w:type="spellEnd"/>
      <w:r>
        <w:t xml:space="preserve">. 2021 </w:t>
      </w:r>
      <w:proofErr w:type="spellStart"/>
      <w:r>
        <w:t>Feb</w:t>
      </w:r>
      <w:proofErr w:type="spellEnd"/>
      <w:r>
        <w:t xml:space="preserve"> 17;65(3).  </w:t>
      </w:r>
    </w:p>
    <w:p w:rsidR="00E0069E" w:rsidRDefault="00C37FF7">
      <w:pPr>
        <w:numPr>
          <w:ilvl w:val="0"/>
          <w:numId w:val="2"/>
        </w:numPr>
        <w:ind w:right="0" w:hanging="640"/>
      </w:pPr>
      <w:r w:rsidRPr="00C37FF7">
        <w:rPr>
          <w:lang w:val="en-US"/>
        </w:rPr>
        <w:t xml:space="preserve">Lee M, Fujita Y, </w:t>
      </w:r>
      <w:proofErr w:type="spellStart"/>
      <w:r w:rsidRPr="00C37FF7">
        <w:rPr>
          <w:lang w:val="en-US"/>
        </w:rPr>
        <w:t>Muraki</w:t>
      </w:r>
      <w:proofErr w:type="spellEnd"/>
      <w:r w:rsidRPr="00C37FF7">
        <w:rPr>
          <w:lang w:val="en-US"/>
        </w:rPr>
        <w:t xml:space="preserve"> S, Huang H, Lee C, Wang J, et al. </w:t>
      </w:r>
      <w:proofErr w:type="spellStart"/>
      <w:r>
        <w:t>Isoniazid</w:t>
      </w:r>
      <w:proofErr w:type="spellEnd"/>
      <w:r>
        <w:t xml:space="preserve"> </w:t>
      </w:r>
      <w:proofErr w:type="spellStart"/>
      <w:r>
        <w:t>level</w:t>
      </w:r>
      <w:proofErr w:type="spellEnd"/>
      <w:r>
        <w:t xml:space="preserve"> </w:t>
      </w:r>
      <w:proofErr w:type="spellStart"/>
      <w:r>
        <w:t>and</w:t>
      </w:r>
      <w:proofErr w:type="spellEnd"/>
      <w:r>
        <w:t xml:space="preserve"> </w:t>
      </w:r>
      <w:proofErr w:type="spellStart"/>
      <w:r>
        <w:t>flu</w:t>
      </w:r>
      <w:r>
        <w:rPr>
          <w:rFonts w:ascii="Cambria Math" w:eastAsia="Cambria Math" w:hAnsi="Cambria Math" w:cs="Cambria Math"/>
        </w:rPr>
        <w:t>‐</w:t>
      </w:r>
      <w:r>
        <w:t>like</w:t>
      </w:r>
      <w:proofErr w:type="spellEnd"/>
      <w:r>
        <w:t xml:space="preserve"> </w:t>
      </w:r>
      <w:proofErr w:type="spellStart"/>
      <w:r>
        <w:t>symptoms</w:t>
      </w:r>
      <w:proofErr w:type="spellEnd"/>
      <w:r>
        <w:t xml:space="preserve"> </w:t>
      </w:r>
      <w:proofErr w:type="spellStart"/>
      <w:r>
        <w:t>during</w:t>
      </w:r>
      <w:proofErr w:type="spellEnd"/>
      <w:r>
        <w:t xml:space="preserve"> </w:t>
      </w:r>
      <w:proofErr w:type="spellStart"/>
      <w:r>
        <w:t>rifapentine</w:t>
      </w:r>
      <w:r>
        <w:rPr>
          <w:rFonts w:ascii="Cambria Math" w:eastAsia="Cambria Math" w:hAnsi="Cambria Math" w:cs="Cambria Math"/>
        </w:rPr>
        <w:t>‐</w:t>
      </w:r>
      <w:r>
        <w:t>based</w:t>
      </w:r>
      <w:proofErr w:type="spellEnd"/>
      <w:r>
        <w:t xml:space="preserve"> </w:t>
      </w:r>
      <w:proofErr w:type="spellStart"/>
      <w:r>
        <w:t>tuberculosis</w:t>
      </w:r>
      <w:proofErr w:type="spellEnd"/>
      <w:r>
        <w:t xml:space="preserve"> </w:t>
      </w:r>
      <w:proofErr w:type="spellStart"/>
      <w:r>
        <w:t>preventive</w:t>
      </w:r>
      <w:proofErr w:type="spellEnd"/>
      <w:r>
        <w:t xml:space="preserve"> </w:t>
      </w:r>
      <w:proofErr w:type="spellStart"/>
      <w:r>
        <w:t>therapy</w:t>
      </w:r>
      <w:proofErr w:type="spellEnd"/>
      <w:r>
        <w:t xml:space="preserve">: A </w:t>
      </w:r>
      <w:proofErr w:type="spellStart"/>
      <w:r>
        <w:t>population</w:t>
      </w:r>
      <w:proofErr w:type="spellEnd"/>
      <w:r>
        <w:t xml:space="preserve"> </w:t>
      </w:r>
      <w:proofErr w:type="spellStart"/>
      <w:r>
        <w:t>pharmacokinetic</w:t>
      </w:r>
      <w:proofErr w:type="spellEnd"/>
      <w:r>
        <w:t xml:space="preserve"> </w:t>
      </w:r>
      <w:proofErr w:type="spellStart"/>
      <w:r>
        <w:t>analysis</w:t>
      </w:r>
      <w:proofErr w:type="spellEnd"/>
      <w:r>
        <w:t xml:space="preserve">. </w:t>
      </w:r>
      <w:proofErr w:type="spellStart"/>
      <w:r>
        <w:t>Br</w:t>
      </w:r>
      <w:proofErr w:type="spellEnd"/>
      <w:r>
        <w:t xml:space="preserve"> J </w:t>
      </w:r>
      <w:proofErr w:type="spellStart"/>
      <w:r>
        <w:t>Clin</w:t>
      </w:r>
      <w:proofErr w:type="spellEnd"/>
      <w:r>
        <w:t xml:space="preserve"> </w:t>
      </w:r>
      <w:proofErr w:type="spellStart"/>
      <w:r>
        <w:t>Pharmacol</w:t>
      </w:r>
      <w:proofErr w:type="spellEnd"/>
      <w:r>
        <w:t xml:space="preserve">. 2023 </w:t>
      </w:r>
      <w:proofErr w:type="spellStart"/>
      <w:r>
        <w:t>Feb</w:t>
      </w:r>
      <w:proofErr w:type="spellEnd"/>
      <w:r>
        <w:t xml:space="preserve"> 27;89(2):714–26.  </w:t>
      </w:r>
    </w:p>
    <w:p w:rsidR="00E0069E" w:rsidRDefault="00C37FF7">
      <w:pPr>
        <w:numPr>
          <w:ilvl w:val="0"/>
          <w:numId w:val="2"/>
        </w:numPr>
        <w:ind w:right="0" w:hanging="640"/>
      </w:pPr>
      <w:r w:rsidRPr="00C37FF7">
        <w:rPr>
          <w:lang w:val="en-US"/>
        </w:rPr>
        <w:t>P</w:t>
      </w:r>
      <w:r w:rsidRPr="00C37FF7">
        <w:rPr>
          <w:lang w:val="en-US"/>
        </w:rPr>
        <w:t xml:space="preserve">ark SY, Lee E, Lee EJ, Kim TH, Kim YK. Screening and Treatment of Latent Tuberculosis Infection among Healthcare Workers at a Referral Hospital in Korea. </w:t>
      </w:r>
      <w:proofErr w:type="spellStart"/>
      <w:r>
        <w:t>Infect</w:t>
      </w:r>
      <w:proofErr w:type="spellEnd"/>
      <w:r>
        <w:t xml:space="preserve"> </w:t>
      </w:r>
      <w:proofErr w:type="spellStart"/>
      <w:r>
        <w:t>Chemother</w:t>
      </w:r>
      <w:proofErr w:type="spellEnd"/>
      <w:r>
        <w:t xml:space="preserve">. 2019;51(4):355.  </w:t>
      </w:r>
    </w:p>
    <w:p w:rsidR="00E0069E" w:rsidRDefault="00C37FF7">
      <w:pPr>
        <w:numPr>
          <w:ilvl w:val="0"/>
          <w:numId w:val="2"/>
        </w:numPr>
        <w:ind w:right="0" w:hanging="640"/>
      </w:pPr>
      <w:r w:rsidRPr="00C37FF7">
        <w:rPr>
          <w:lang w:val="en-US"/>
        </w:rPr>
        <w:t xml:space="preserve">Chung SJ, Lee H, Koo GW, Min JH, Yeo Y, Park DW, et al. </w:t>
      </w:r>
      <w:proofErr w:type="spellStart"/>
      <w:r>
        <w:t>Adherence</w:t>
      </w:r>
      <w:proofErr w:type="spellEnd"/>
      <w:r>
        <w:t xml:space="preserve"> </w:t>
      </w:r>
      <w:proofErr w:type="spellStart"/>
      <w:r>
        <w:t>to</w:t>
      </w:r>
      <w:proofErr w:type="spellEnd"/>
      <w:r>
        <w:t xml:space="preserve"> </w:t>
      </w:r>
      <w:proofErr w:type="spellStart"/>
      <w:r>
        <w:t>ninemonth</w:t>
      </w:r>
      <w:proofErr w:type="spellEnd"/>
      <w:r>
        <w:t xml:space="preserve"> </w:t>
      </w:r>
      <w:proofErr w:type="spellStart"/>
      <w:r>
        <w:t>isoniazid</w:t>
      </w:r>
      <w:proofErr w:type="spellEnd"/>
      <w:r>
        <w:t xml:space="preserve"> for </w:t>
      </w:r>
      <w:proofErr w:type="spellStart"/>
      <w:r>
        <w:t>latent</w:t>
      </w:r>
      <w:proofErr w:type="spellEnd"/>
      <w:r>
        <w:t xml:space="preserve"> </w:t>
      </w:r>
      <w:proofErr w:type="spellStart"/>
      <w:r>
        <w:t>tuberculosis</w:t>
      </w:r>
      <w:proofErr w:type="spellEnd"/>
      <w:r>
        <w:t xml:space="preserve"> </w:t>
      </w:r>
      <w:proofErr w:type="spellStart"/>
      <w:r>
        <w:t>infection</w:t>
      </w:r>
      <w:proofErr w:type="spellEnd"/>
      <w:r>
        <w:t xml:space="preserve"> in </w:t>
      </w:r>
      <w:proofErr w:type="spellStart"/>
      <w:r>
        <w:t>healthcare</w:t>
      </w:r>
      <w:proofErr w:type="spellEnd"/>
      <w:r>
        <w:t xml:space="preserve"> </w:t>
      </w:r>
      <w:proofErr w:type="spellStart"/>
      <w:r>
        <w:t>workers</w:t>
      </w:r>
      <w:proofErr w:type="spellEnd"/>
      <w:r>
        <w:t xml:space="preserve">: a </w:t>
      </w:r>
      <w:proofErr w:type="spellStart"/>
      <w:r>
        <w:t>prospective</w:t>
      </w:r>
      <w:proofErr w:type="spellEnd"/>
      <w:r>
        <w:t xml:space="preserve"> </w:t>
      </w:r>
      <w:proofErr w:type="spellStart"/>
      <w:r>
        <w:t>study</w:t>
      </w:r>
      <w:proofErr w:type="spellEnd"/>
      <w:r>
        <w:t xml:space="preserve"> in a </w:t>
      </w:r>
      <w:proofErr w:type="spellStart"/>
      <w:r>
        <w:t>tertiary</w:t>
      </w:r>
      <w:proofErr w:type="spellEnd"/>
      <w:r>
        <w:t xml:space="preserve"> hospital. </w:t>
      </w:r>
      <w:proofErr w:type="spellStart"/>
      <w:r>
        <w:t>Sci</w:t>
      </w:r>
      <w:proofErr w:type="spellEnd"/>
      <w:r>
        <w:t xml:space="preserve"> Rep. 2020 </w:t>
      </w:r>
      <w:proofErr w:type="spellStart"/>
      <w:r>
        <w:t>Apr</w:t>
      </w:r>
      <w:proofErr w:type="spellEnd"/>
      <w:r>
        <w:t xml:space="preserve"> 15;10(1):6462.  </w:t>
      </w:r>
    </w:p>
    <w:p w:rsidR="00E0069E" w:rsidRDefault="00C37FF7">
      <w:pPr>
        <w:numPr>
          <w:ilvl w:val="0"/>
          <w:numId w:val="2"/>
        </w:numPr>
        <w:ind w:right="0" w:hanging="640"/>
      </w:pPr>
      <w:proofErr w:type="spellStart"/>
      <w:r w:rsidRPr="00C37FF7">
        <w:rPr>
          <w:lang w:val="en-US"/>
        </w:rPr>
        <w:t>Bliven</w:t>
      </w:r>
      <w:proofErr w:type="spellEnd"/>
      <w:r w:rsidRPr="00C37FF7">
        <w:rPr>
          <w:lang w:val="en-US"/>
        </w:rPr>
        <w:t xml:space="preserve">-Sizemore EE, Sterling TR, Shang N, </w:t>
      </w:r>
      <w:proofErr w:type="spellStart"/>
      <w:r w:rsidRPr="00C37FF7">
        <w:rPr>
          <w:lang w:val="en-US"/>
        </w:rPr>
        <w:t>Benator</w:t>
      </w:r>
      <w:proofErr w:type="spellEnd"/>
      <w:r w:rsidRPr="00C37FF7">
        <w:rPr>
          <w:lang w:val="en-US"/>
        </w:rPr>
        <w:t xml:space="preserve"> D, Schwartzman K, </w:t>
      </w:r>
      <w:proofErr w:type="spellStart"/>
      <w:r w:rsidRPr="00C37FF7">
        <w:rPr>
          <w:lang w:val="en-US"/>
        </w:rPr>
        <w:t>Reves</w:t>
      </w:r>
      <w:proofErr w:type="spellEnd"/>
      <w:r w:rsidRPr="00C37FF7">
        <w:rPr>
          <w:lang w:val="en-US"/>
        </w:rPr>
        <w:t xml:space="preserve"> R, et al. Three months </w:t>
      </w:r>
      <w:r w:rsidRPr="00C37FF7">
        <w:rPr>
          <w:lang w:val="en-US"/>
        </w:rPr>
        <w:t xml:space="preserve">of weekly rifapentine plus isoniazid is less hepatotoxic than nine months of daily isoniazid for LTBI. </w:t>
      </w:r>
      <w:r>
        <w:t xml:space="preserve">The </w:t>
      </w:r>
      <w:proofErr w:type="spellStart"/>
      <w:r>
        <w:t>International</w:t>
      </w:r>
      <w:proofErr w:type="spellEnd"/>
      <w:r>
        <w:t xml:space="preserve"> </w:t>
      </w:r>
      <w:proofErr w:type="spellStart"/>
      <w:r>
        <w:t>Journal</w:t>
      </w:r>
      <w:proofErr w:type="spellEnd"/>
      <w:r>
        <w:t xml:space="preserve"> </w:t>
      </w:r>
      <w:proofErr w:type="spellStart"/>
      <w:r>
        <w:t>of</w:t>
      </w:r>
      <w:proofErr w:type="spellEnd"/>
      <w:r>
        <w:t xml:space="preserve"> </w:t>
      </w:r>
      <w:proofErr w:type="spellStart"/>
      <w:r>
        <w:t>Tuberculosis</w:t>
      </w:r>
      <w:proofErr w:type="spellEnd"/>
      <w:r>
        <w:t xml:space="preserve"> </w:t>
      </w:r>
      <w:proofErr w:type="spellStart"/>
      <w:r>
        <w:t>and</w:t>
      </w:r>
      <w:proofErr w:type="spellEnd"/>
      <w:r>
        <w:t xml:space="preserve"> </w:t>
      </w:r>
      <w:proofErr w:type="spellStart"/>
      <w:r>
        <w:t>Lung</w:t>
      </w:r>
      <w:proofErr w:type="spellEnd"/>
      <w:r>
        <w:t xml:space="preserve"> </w:t>
      </w:r>
      <w:proofErr w:type="spellStart"/>
      <w:r>
        <w:t>Disease</w:t>
      </w:r>
      <w:proofErr w:type="spellEnd"/>
      <w:r>
        <w:t xml:space="preserve">. 2015 </w:t>
      </w:r>
      <w:proofErr w:type="spellStart"/>
      <w:r>
        <w:t>Sep</w:t>
      </w:r>
      <w:proofErr w:type="spellEnd"/>
      <w:r>
        <w:t xml:space="preserve"> 1;19(9):1039–44.  </w:t>
      </w:r>
    </w:p>
    <w:p w:rsidR="00E0069E" w:rsidRDefault="00C37FF7">
      <w:pPr>
        <w:numPr>
          <w:ilvl w:val="0"/>
          <w:numId w:val="2"/>
        </w:numPr>
        <w:spacing w:after="0"/>
        <w:ind w:right="0" w:hanging="640"/>
      </w:pPr>
      <w:proofErr w:type="spellStart"/>
      <w:r>
        <w:t>Menzies</w:t>
      </w:r>
      <w:proofErr w:type="spellEnd"/>
      <w:r>
        <w:t xml:space="preserve"> D, </w:t>
      </w:r>
      <w:proofErr w:type="spellStart"/>
      <w:r>
        <w:t>Adjobimey</w:t>
      </w:r>
      <w:proofErr w:type="spellEnd"/>
      <w:r>
        <w:t xml:space="preserve"> M, </w:t>
      </w:r>
      <w:proofErr w:type="spellStart"/>
      <w:r>
        <w:t>Ruslami</w:t>
      </w:r>
      <w:proofErr w:type="spellEnd"/>
      <w:r>
        <w:t xml:space="preserve"> R, </w:t>
      </w:r>
      <w:proofErr w:type="spellStart"/>
      <w:r>
        <w:t>Trajman</w:t>
      </w:r>
      <w:proofErr w:type="spellEnd"/>
      <w:r>
        <w:t xml:space="preserve"> A, </w:t>
      </w:r>
      <w:proofErr w:type="spellStart"/>
      <w:r>
        <w:t>Sow</w:t>
      </w:r>
      <w:proofErr w:type="spellEnd"/>
      <w:r>
        <w:t xml:space="preserve"> O, Kim H, et al</w:t>
      </w:r>
      <w:r>
        <w:t xml:space="preserve">. Four </w:t>
      </w:r>
      <w:proofErr w:type="spellStart"/>
      <w:r>
        <w:t>Months</w:t>
      </w:r>
      <w:proofErr w:type="spellEnd"/>
      <w:r>
        <w:t xml:space="preserve"> </w:t>
      </w:r>
      <w:proofErr w:type="spellStart"/>
      <w:r>
        <w:t>of</w:t>
      </w:r>
      <w:proofErr w:type="spellEnd"/>
      <w:r>
        <w:t xml:space="preserve"> </w:t>
      </w:r>
      <w:proofErr w:type="spellStart"/>
      <w:r>
        <w:t>Rifampin</w:t>
      </w:r>
      <w:proofErr w:type="spellEnd"/>
      <w:r>
        <w:t xml:space="preserve"> </w:t>
      </w:r>
      <w:proofErr w:type="spellStart"/>
      <w:r>
        <w:t>or</w:t>
      </w:r>
      <w:proofErr w:type="spellEnd"/>
      <w:r>
        <w:t xml:space="preserve"> Nine </w:t>
      </w:r>
      <w:proofErr w:type="spellStart"/>
      <w:r>
        <w:t>Months</w:t>
      </w:r>
      <w:proofErr w:type="spellEnd"/>
      <w:r>
        <w:t xml:space="preserve"> </w:t>
      </w:r>
      <w:proofErr w:type="spellStart"/>
      <w:r>
        <w:t>of</w:t>
      </w:r>
      <w:proofErr w:type="spellEnd"/>
      <w:r>
        <w:t xml:space="preserve"> </w:t>
      </w:r>
      <w:proofErr w:type="spellStart"/>
      <w:r>
        <w:t>Isoniazid</w:t>
      </w:r>
      <w:proofErr w:type="spellEnd"/>
      <w:r>
        <w:t xml:space="preserve"> for </w:t>
      </w:r>
      <w:proofErr w:type="spellStart"/>
      <w:r>
        <w:t>Latent</w:t>
      </w:r>
      <w:proofErr w:type="spellEnd"/>
      <w:r>
        <w:t xml:space="preserve"> </w:t>
      </w:r>
      <w:proofErr w:type="spellStart"/>
      <w:r>
        <w:t>Tuberculosis</w:t>
      </w:r>
      <w:proofErr w:type="spellEnd"/>
      <w:r>
        <w:t xml:space="preserve"> in </w:t>
      </w:r>
      <w:proofErr w:type="spellStart"/>
      <w:r>
        <w:t>Adults</w:t>
      </w:r>
      <w:proofErr w:type="spellEnd"/>
      <w:r>
        <w:t xml:space="preserve">. </w:t>
      </w:r>
    </w:p>
    <w:p w:rsidR="00E0069E" w:rsidRDefault="00C37FF7">
      <w:pPr>
        <w:spacing w:after="278" w:line="259" w:lineRule="auto"/>
        <w:ind w:left="1290" w:right="0"/>
      </w:pPr>
      <w:r w:rsidRPr="00C37FF7">
        <w:rPr>
          <w:lang w:val="en-US"/>
        </w:rPr>
        <w:t xml:space="preserve">New England Journal of Medicine. </w:t>
      </w:r>
      <w:r>
        <w:t xml:space="preserve">2018 </w:t>
      </w:r>
      <w:proofErr w:type="spellStart"/>
      <w:r>
        <w:t>Aug</w:t>
      </w:r>
      <w:proofErr w:type="spellEnd"/>
      <w:r>
        <w:t xml:space="preserve"> 2;379(5):440–53.  </w:t>
      </w:r>
    </w:p>
    <w:p w:rsidR="00E0069E" w:rsidRDefault="00C37FF7">
      <w:pPr>
        <w:numPr>
          <w:ilvl w:val="0"/>
          <w:numId w:val="2"/>
        </w:numPr>
        <w:ind w:right="0" w:hanging="640"/>
      </w:pPr>
      <w:r w:rsidRPr="00C37FF7">
        <w:rPr>
          <w:lang w:val="en-US"/>
        </w:rPr>
        <w:t xml:space="preserve">Diallo T, </w:t>
      </w:r>
      <w:proofErr w:type="spellStart"/>
      <w:r w:rsidRPr="00C37FF7">
        <w:rPr>
          <w:lang w:val="en-US"/>
        </w:rPr>
        <w:t>Adjobimey</w:t>
      </w:r>
      <w:proofErr w:type="spellEnd"/>
      <w:r w:rsidRPr="00C37FF7">
        <w:rPr>
          <w:lang w:val="en-US"/>
        </w:rPr>
        <w:t xml:space="preserve"> M, </w:t>
      </w:r>
      <w:proofErr w:type="spellStart"/>
      <w:r w:rsidRPr="00C37FF7">
        <w:rPr>
          <w:lang w:val="en-US"/>
        </w:rPr>
        <w:t>Ruslami</w:t>
      </w:r>
      <w:proofErr w:type="spellEnd"/>
      <w:r w:rsidRPr="00C37FF7">
        <w:rPr>
          <w:lang w:val="en-US"/>
        </w:rPr>
        <w:t xml:space="preserve"> R, </w:t>
      </w:r>
      <w:proofErr w:type="spellStart"/>
      <w:r w:rsidRPr="00C37FF7">
        <w:rPr>
          <w:lang w:val="en-US"/>
        </w:rPr>
        <w:t>Trajman</w:t>
      </w:r>
      <w:proofErr w:type="spellEnd"/>
      <w:r w:rsidRPr="00C37FF7">
        <w:rPr>
          <w:lang w:val="en-US"/>
        </w:rPr>
        <w:t xml:space="preserve"> A, Sow O, Obeng </w:t>
      </w:r>
      <w:proofErr w:type="spellStart"/>
      <w:r w:rsidRPr="00C37FF7">
        <w:rPr>
          <w:lang w:val="en-US"/>
        </w:rPr>
        <w:t>Baah</w:t>
      </w:r>
      <w:proofErr w:type="spellEnd"/>
      <w:r w:rsidRPr="00C37FF7">
        <w:rPr>
          <w:lang w:val="en-US"/>
        </w:rPr>
        <w:t xml:space="preserve"> J, et al. </w:t>
      </w:r>
      <w:proofErr w:type="spellStart"/>
      <w:r>
        <w:t>Safety</w:t>
      </w:r>
      <w:proofErr w:type="spellEnd"/>
      <w:r>
        <w:t xml:space="preserve"> </w:t>
      </w:r>
      <w:proofErr w:type="spellStart"/>
      <w:r>
        <w:t>and</w:t>
      </w:r>
      <w:proofErr w:type="spellEnd"/>
      <w:r>
        <w:t xml:space="preserve"> </w:t>
      </w:r>
      <w:proofErr w:type="spellStart"/>
      <w:r>
        <w:t>Side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Rifam</w:t>
      </w:r>
      <w:r>
        <w:t>pin</w:t>
      </w:r>
      <w:proofErr w:type="spellEnd"/>
      <w:r>
        <w:t xml:space="preserve"> versus </w:t>
      </w:r>
      <w:proofErr w:type="spellStart"/>
      <w:r>
        <w:t>Isoniazid</w:t>
      </w:r>
      <w:proofErr w:type="spellEnd"/>
      <w:r>
        <w:t xml:space="preserve"> in </w:t>
      </w:r>
      <w:proofErr w:type="spellStart"/>
      <w:r>
        <w:t>Children</w:t>
      </w:r>
      <w:proofErr w:type="spellEnd"/>
      <w:r>
        <w:t xml:space="preserve">. New </w:t>
      </w:r>
      <w:proofErr w:type="spellStart"/>
      <w:r>
        <w:t>England</w:t>
      </w:r>
      <w:proofErr w:type="spellEnd"/>
      <w:r>
        <w:t xml:space="preserve"> </w:t>
      </w:r>
      <w:proofErr w:type="spellStart"/>
      <w:r>
        <w:t>Journal</w:t>
      </w:r>
      <w:proofErr w:type="spellEnd"/>
      <w:r>
        <w:t xml:space="preserve"> </w:t>
      </w:r>
      <w:proofErr w:type="spellStart"/>
      <w:proofErr w:type="gramStart"/>
      <w:r>
        <w:t>of</w:t>
      </w:r>
      <w:proofErr w:type="spellEnd"/>
      <w:r>
        <w:t xml:space="preserve"> Medicine</w:t>
      </w:r>
      <w:proofErr w:type="gramEnd"/>
      <w:r>
        <w:t xml:space="preserve">. 2018 </w:t>
      </w:r>
      <w:proofErr w:type="spellStart"/>
      <w:r>
        <w:t>Aug</w:t>
      </w:r>
      <w:proofErr w:type="spellEnd"/>
      <w:r>
        <w:t xml:space="preserve"> 2;379(5):454–63.  </w:t>
      </w:r>
    </w:p>
    <w:p w:rsidR="00E0069E" w:rsidRDefault="00C37FF7">
      <w:pPr>
        <w:numPr>
          <w:ilvl w:val="0"/>
          <w:numId w:val="2"/>
        </w:numPr>
        <w:ind w:right="0" w:hanging="640"/>
      </w:pPr>
      <w:r w:rsidRPr="00C37FF7">
        <w:rPr>
          <w:lang w:val="en-US"/>
        </w:rPr>
        <w:t>Gray EL, Goldberg HF. Baseline abnormal liver function tests are more important than age in the development of isoniazid-induced hepatoxicity for patients receiv</w:t>
      </w:r>
      <w:r w:rsidRPr="00C37FF7">
        <w:rPr>
          <w:lang w:val="en-US"/>
        </w:rPr>
        <w:t xml:space="preserve">ing preventive therapy for latent tuberculosis infection. </w:t>
      </w:r>
      <w:proofErr w:type="spellStart"/>
      <w:r>
        <w:t>Intern</w:t>
      </w:r>
      <w:proofErr w:type="spellEnd"/>
      <w:r>
        <w:t xml:space="preserve"> </w:t>
      </w:r>
      <w:proofErr w:type="spellStart"/>
      <w:r>
        <w:t>Med</w:t>
      </w:r>
      <w:proofErr w:type="spellEnd"/>
      <w:r>
        <w:t xml:space="preserve"> J. 2016 Mar;46(3):281–7.  </w:t>
      </w:r>
    </w:p>
    <w:p w:rsidR="00E0069E" w:rsidRDefault="00C37FF7">
      <w:pPr>
        <w:numPr>
          <w:ilvl w:val="0"/>
          <w:numId w:val="2"/>
        </w:numPr>
        <w:spacing w:after="158" w:line="361" w:lineRule="auto"/>
        <w:ind w:right="0" w:hanging="640"/>
      </w:pPr>
      <w:r w:rsidRPr="00C37FF7">
        <w:rPr>
          <w:lang w:val="en-US"/>
        </w:rPr>
        <w:lastRenderedPageBreak/>
        <w:t xml:space="preserve">Valls V, </w:t>
      </w:r>
      <w:proofErr w:type="spellStart"/>
      <w:r w:rsidRPr="00C37FF7">
        <w:rPr>
          <w:lang w:val="en-US"/>
        </w:rPr>
        <w:t>Ena</w:t>
      </w:r>
      <w:proofErr w:type="spellEnd"/>
      <w:r w:rsidRPr="00C37FF7">
        <w:rPr>
          <w:lang w:val="en-US"/>
        </w:rPr>
        <w:t xml:space="preserve"> J. Short-course treatment of latent tuberculosis infection in patients with rheumatic conditions proposed for anti-TNF therapy. </w:t>
      </w:r>
      <w:proofErr w:type="spellStart"/>
      <w:r>
        <w:t>Clin</w:t>
      </w:r>
      <w:proofErr w:type="spellEnd"/>
      <w:r>
        <w:t xml:space="preserve"> </w:t>
      </w:r>
      <w:proofErr w:type="spellStart"/>
      <w:r>
        <w:t>Rheumatol</w:t>
      </w:r>
      <w:proofErr w:type="spellEnd"/>
      <w:r>
        <w:t>. 201</w:t>
      </w:r>
      <w:r>
        <w:t xml:space="preserve">5 Jan 25;34(1):29–34.  </w:t>
      </w:r>
    </w:p>
    <w:p w:rsidR="00E0069E" w:rsidRDefault="00C37FF7">
      <w:pPr>
        <w:numPr>
          <w:ilvl w:val="0"/>
          <w:numId w:val="2"/>
        </w:numPr>
        <w:ind w:right="0" w:hanging="640"/>
      </w:pPr>
      <w:r w:rsidRPr="00C37FF7">
        <w:rPr>
          <w:lang w:val="en-US"/>
        </w:rPr>
        <w:t xml:space="preserve">Belknap R, Holland D, Feng PJ, Millet JP, </w:t>
      </w:r>
      <w:proofErr w:type="spellStart"/>
      <w:r w:rsidRPr="00C37FF7">
        <w:rPr>
          <w:lang w:val="en-US"/>
        </w:rPr>
        <w:t>Caylà</w:t>
      </w:r>
      <w:proofErr w:type="spellEnd"/>
      <w:r w:rsidRPr="00C37FF7">
        <w:rPr>
          <w:lang w:val="en-US"/>
        </w:rPr>
        <w:t xml:space="preserve"> JA, Martinson NA, et al. </w:t>
      </w:r>
      <w:proofErr w:type="spellStart"/>
      <w:r>
        <w:t>Selfadministered</w:t>
      </w:r>
      <w:proofErr w:type="spellEnd"/>
      <w:r>
        <w:t xml:space="preserve"> Versus </w:t>
      </w:r>
      <w:proofErr w:type="spellStart"/>
      <w:r>
        <w:t>Directly</w:t>
      </w:r>
      <w:proofErr w:type="spellEnd"/>
      <w:r>
        <w:t xml:space="preserve"> </w:t>
      </w:r>
      <w:proofErr w:type="spellStart"/>
      <w:r>
        <w:t>Observed</w:t>
      </w:r>
      <w:proofErr w:type="spellEnd"/>
      <w:r>
        <w:t xml:space="preserve"> </w:t>
      </w:r>
      <w:proofErr w:type="spellStart"/>
      <w:r>
        <w:t>Once-Weekly</w:t>
      </w:r>
      <w:proofErr w:type="spellEnd"/>
      <w:r>
        <w:t xml:space="preserve"> </w:t>
      </w:r>
      <w:proofErr w:type="spellStart"/>
      <w:r>
        <w:t>Isoniazid</w:t>
      </w:r>
      <w:proofErr w:type="spellEnd"/>
      <w:r>
        <w:t xml:space="preserve"> </w:t>
      </w:r>
      <w:proofErr w:type="spellStart"/>
      <w:r>
        <w:t>and</w:t>
      </w:r>
      <w:proofErr w:type="spellEnd"/>
      <w:r>
        <w:t xml:space="preserve"> </w:t>
      </w:r>
      <w:proofErr w:type="spellStart"/>
      <w:r>
        <w:t>Rifapentine</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Latent</w:t>
      </w:r>
      <w:proofErr w:type="spellEnd"/>
      <w:r>
        <w:t xml:space="preserve"> </w:t>
      </w:r>
      <w:proofErr w:type="spellStart"/>
      <w:r>
        <w:t>Tuberculosis</w:t>
      </w:r>
      <w:proofErr w:type="spellEnd"/>
      <w:r>
        <w:t xml:space="preserve"> </w:t>
      </w:r>
      <w:proofErr w:type="spellStart"/>
      <w:r>
        <w:t>Infection</w:t>
      </w:r>
      <w:proofErr w:type="spellEnd"/>
      <w:r>
        <w:t xml:space="preserve">. Ann </w:t>
      </w:r>
      <w:proofErr w:type="spellStart"/>
      <w:r>
        <w:t>Intern</w:t>
      </w:r>
      <w:proofErr w:type="spellEnd"/>
      <w:r>
        <w:t xml:space="preserve"> Med. 2017 </w:t>
      </w:r>
      <w:proofErr w:type="spellStart"/>
      <w:r>
        <w:t>Nov</w:t>
      </w:r>
      <w:proofErr w:type="spellEnd"/>
      <w:r>
        <w:t xml:space="preserve"> </w:t>
      </w:r>
      <w:r>
        <w:t xml:space="preserve">21;167(10):689.  </w:t>
      </w:r>
    </w:p>
    <w:p w:rsidR="00E0069E" w:rsidRDefault="00C37FF7">
      <w:pPr>
        <w:numPr>
          <w:ilvl w:val="0"/>
          <w:numId w:val="2"/>
        </w:numPr>
        <w:ind w:right="0" w:hanging="640"/>
      </w:pPr>
      <w:proofErr w:type="spellStart"/>
      <w:r>
        <w:t>Erkens</w:t>
      </w:r>
      <w:proofErr w:type="spellEnd"/>
      <w:r>
        <w:t xml:space="preserve"> CGM, </w:t>
      </w:r>
      <w:proofErr w:type="spellStart"/>
      <w:r>
        <w:t>Slump</w:t>
      </w:r>
      <w:proofErr w:type="spellEnd"/>
      <w:r>
        <w:t xml:space="preserve"> E, </w:t>
      </w:r>
      <w:proofErr w:type="spellStart"/>
      <w:r>
        <w:t>Verhagen</w:t>
      </w:r>
      <w:proofErr w:type="spellEnd"/>
      <w:r>
        <w:t xml:space="preserve"> M, </w:t>
      </w:r>
      <w:proofErr w:type="spellStart"/>
      <w:r>
        <w:t>Schimmel</w:t>
      </w:r>
      <w:proofErr w:type="spellEnd"/>
      <w:r>
        <w:t xml:space="preserve"> H, de </w:t>
      </w:r>
      <w:proofErr w:type="spellStart"/>
      <w:r>
        <w:t>Vries</w:t>
      </w:r>
      <w:proofErr w:type="spellEnd"/>
      <w:r>
        <w:t xml:space="preserve"> G, </w:t>
      </w:r>
      <w:proofErr w:type="spellStart"/>
      <w:r>
        <w:t>Cobelens</w:t>
      </w:r>
      <w:proofErr w:type="spellEnd"/>
      <w:r>
        <w:t xml:space="preserve"> F, et al. </w:t>
      </w:r>
      <w:proofErr w:type="spellStart"/>
      <w:r>
        <w:t>Monitoring</w:t>
      </w:r>
      <w:proofErr w:type="spellEnd"/>
      <w:r>
        <w:t xml:space="preserve"> </w:t>
      </w:r>
      <w:proofErr w:type="spellStart"/>
      <w:r>
        <w:t>latent</w:t>
      </w:r>
      <w:proofErr w:type="spellEnd"/>
      <w:r>
        <w:t xml:space="preserve"> </w:t>
      </w:r>
      <w:proofErr w:type="spellStart"/>
      <w:r>
        <w:t>tuberculosis</w:t>
      </w:r>
      <w:proofErr w:type="spellEnd"/>
      <w:r>
        <w:t xml:space="preserve"> </w:t>
      </w:r>
      <w:proofErr w:type="spellStart"/>
      <w:r>
        <w:t>infection</w:t>
      </w:r>
      <w:proofErr w:type="spellEnd"/>
      <w:r>
        <w:t xml:space="preserve"> </w:t>
      </w:r>
      <w:proofErr w:type="spellStart"/>
      <w:r>
        <w:t>diagnosis</w:t>
      </w:r>
      <w:proofErr w:type="spellEnd"/>
      <w:r>
        <w:t xml:space="preserve"> </w:t>
      </w:r>
      <w:proofErr w:type="spellStart"/>
      <w:r>
        <w:t>and</w:t>
      </w:r>
      <w:proofErr w:type="spellEnd"/>
      <w:r>
        <w:t xml:space="preserve"> management in </w:t>
      </w:r>
      <w:proofErr w:type="spellStart"/>
      <w:r>
        <w:t>the</w:t>
      </w:r>
      <w:proofErr w:type="spellEnd"/>
      <w:r>
        <w:t xml:space="preserve"> </w:t>
      </w:r>
      <w:proofErr w:type="spellStart"/>
      <w:r>
        <w:t>Netherlands</w:t>
      </w:r>
      <w:proofErr w:type="spellEnd"/>
      <w:r>
        <w:t xml:space="preserve">. </w:t>
      </w:r>
      <w:proofErr w:type="spellStart"/>
      <w:r>
        <w:t>European</w:t>
      </w:r>
      <w:proofErr w:type="spellEnd"/>
      <w:r>
        <w:t xml:space="preserve"> </w:t>
      </w:r>
      <w:proofErr w:type="spellStart"/>
      <w:r>
        <w:t>Respiratory</w:t>
      </w:r>
      <w:proofErr w:type="spellEnd"/>
      <w:r>
        <w:t xml:space="preserve"> </w:t>
      </w:r>
      <w:proofErr w:type="spellStart"/>
      <w:r>
        <w:t>Journal</w:t>
      </w:r>
      <w:proofErr w:type="spellEnd"/>
      <w:r>
        <w:t xml:space="preserve">. 2016 May;47(5):1492–501.  </w:t>
      </w:r>
    </w:p>
    <w:p w:rsidR="00E0069E" w:rsidRPr="00C37FF7" w:rsidRDefault="00C37FF7">
      <w:pPr>
        <w:numPr>
          <w:ilvl w:val="0"/>
          <w:numId w:val="2"/>
        </w:numPr>
        <w:spacing w:after="0"/>
        <w:ind w:right="0" w:hanging="640"/>
        <w:rPr>
          <w:lang w:val="en-US"/>
        </w:rPr>
      </w:pPr>
      <w:proofErr w:type="spellStart"/>
      <w:r w:rsidRPr="00C37FF7">
        <w:rPr>
          <w:lang w:val="en-US"/>
        </w:rPr>
        <w:t>Kiliacaslan</w:t>
      </w:r>
      <w:proofErr w:type="spellEnd"/>
      <w:r w:rsidRPr="00C37FF7">
        <w:rPr>
          <w:lang w:val="en-US"/>
        </w:rPr>
        <w:t xml:space="preserve"> E, </w:t>
      </w:r>
      <w:proofErr w:type="spellStart"/>
      <w:r w:rsidRPr="00C37FF7">
        <w:rPr>
          <w:lang w:val="en-US"/>
        </w:rPr>
        <w:t>Cano</w:t>
      </w:r>
      <w:r w:rsidRPr="00C37FF7">
        <w:rPr>
          <w:lang w:val="en-US"/>
        </w:rPr>
        <w:t>glu</w:t>
      </w:r>
      <w:proofErr w:type="spellEnd"/>
      <w:r w:rsidRPr="00C37FF7">
        <w:rPr>
          <w:lang w:val="en-US"/>
        </w:rPr>
        <w:t xml:space="preserve"> K. MANAGEMENT OF LATENT TUBERCULOSIS INFECTION BASED ON T-SPOT.TB ASSAY IN PATIENTS WITH </w:t>
      </w:r>
    </w:p>
    <w:p w:rsidR="00E0069E" w:rsidRDefault="00C37FF7">
      <w:pPr>
        <w:ind w:left="1290" w:right="0"/>
      </w:pPr>
      <w:r>
        <w:t xml:space="preserve">HEMATOLOGICAL MALIGNANCIES. </w:t>
      </w:r>
      <w:proofErr w:type="spellStart"/>
      <w:r>
        <w:t>Mediterr</w:t>
      </w:r>
      <w:proofErr w:type="spellEnd"/>
      <w:r>
        <w:t xml:space="preserve"> J </w:t>
      </w:r>
      <w:proofErr w:type="spellStart"/>
      <w:r>
        <w:t>Hematol</w:t>
      </w:r>
      <w:proofErr w:type="spellEnd"/>
      <w:r>
        <w:t xml:space="preserve"> </w:t>
      </w:r>
      <w:proofErr w:type="spellStart"/>
      <w:r>
        <w:t>Infect</w:t>
      </w:r>
      <w:proofErr w:type="spellEnd"/>
      <w:r>
        <w:t xml:space="preserve"> </w:t>
      </w:r>
      <w:proofErr w:type="spellStart"/>
      <w:r>
        <w:t>Dis</w:t>
      </w:r>
      <w:proofErr w:type="spellEnd"/>
      <w:r>
        <w:t xml:space="preserve">. 2022 </w:t>
      </w:r>
      <w:proofErr w:type="spellStart"/>
      <w:r>
        <w:t>Dec</w:t>
      </w:r>
      <w:proofErr w:type="spellEnd"/>
      <w:r>
        <w:t xml:space="preserve"> 31;15(1):e2023003.  </w:t>
      </w:r>
    </w:p>
    <w:p w:rsidR="00E0069E" w:rsidRDefault="00C37FF7">
      <w:pPr>
        <w:numPr>
          <w:ilvl w:val="0"/>
          <w:numId w:val="2"/>
        </w:numPr>
        <w:ind w:right="0" w:hanging="640"/>
      </w:pPr>
      <w:r>
        <w:t xml:space="preserve">Alvarez GG, Van </w:t>
      </w:r>
      <w:proofErr w:type="spellStart"/>
      <w:r>
        <w:t>Dyk</w:t>
      </w:r>
      <w:proofErr w:type="spellEnd"/>
      <w:r>
        <w:t xml:space="preserve"> D, </w:t>
      </w:r>
      <w:proofErr w:type="spellStart"/>
      <w:r>
        <w:t>Mallick</w:t>
      </w:r>
      <w:proofErr w:type="spellEnd"/>
      <w:r>
        <w:t xml:space="preserve"> R, </w:t>
      </w:r>
      <w:proofErr w:type="spellStart"/>
      <w:r>
        <w:t>Lesperance</w:t>
      </w:r>
      <w:proofErr w:type="spellEnd"/>
      <w:r>
        <w:t xml:space="preserve"> S, </w:t>
      </w:r>
      <w:proofErr w:type="spellStart"/>
      <w:r>
        <w:t>Demaio</w:t>
      </w:r>
      <w:proofErr w:type="spellEnd"/>
      <w:r>
        <w:t xml:space="preserve"> P, Finn S, et al. </w:t>
      </w:r>
      <w:r>
        <w:t xml:space="preserve">The </w:t>
      </w:r>
      <w:proofErr w:type="spellStart"/>
      <w:r>
        <w:t>implementation</w:t>
      </w:r>
      <w:proofErr w:type="spellEnd"/>
      <w:r>
        <w:t xml:space="preserve"> </w:t>
      </w:r>
      <w:proofErr w:type="spellStart"/>
      <w:r>
        <w:t>of</w:t>
      </w:r>
      <w:proofErr w:type="spellEnd"/>
      <w:r>
        <w:t xml:space="preserve"> </w:t>
      </w:r>
      <w:proofErr w:type="spellStart"/>
      <w:r>
        <w:t>rifapentine</w:t>
      </w:r>
      <w:proofErr w:type="spellEnd"/>
      <w:r>
        <w:t xml:space="preserve"> </w:t>
      </w:r>
      <w:proofErr w:type="spellStart"/>
      <w:r>
        <w:t>and</w:t>
      </w:r>
      <w:proofErr w:type="spellEnd"/>
      <w:r>
        <w:t xml:space="preserve"> </w:t>
      </w:r>
      <w:proofErr w:type="spellStart"/>
      <w:r>
        <w:t>isoniazid</w:t>
      </w:r>
      <w:proofErr w:type="spellEnd"/>
      <w:r>
        <w:t xml:space="preserve"> (3HP) in </w:t>
      </w:r>
      <w:proofErr w:type="spellStart"/>
      <w:r>
        <w:t>two</w:t>
      </w:r>
      <w:proofErr w:type="spellEnd"/>
      <w:r>
        <w:t xml:space="preserve"> </w:t>
      </w:r>
      <w:proofErr w:type="spellStart"/>
      <w:r>
        <w:t>remote</w:t>
      </w:r>
      <w:proofErr w:type="spellEnd"/>
      <w:r>
        <w:t xml:space="preserve"> </w:t>
      </w:r>
      <w:proofErr w:type="spellStart"/>
      <w:r>
        <w:t>Arctic</w:t>
      </w:r>
      <w:proofErr w:type="spellEnd"/>
      <w:r>
        <w:t xml:space="preserve"> </w:t>
      </w:r>
      <w:proofErr w:type="spellStart"/>
      <w:r>
        <w:t>communities</w:t>
      </w:r>
      <w:proofErr w:type="spellEnd"/>
      <w:r>
        <w:t xml:space="preserve"> </w:t>
      </w:r>
      <w:proofErr w:type="spellStart"/>
      <w:r>
        <w:t>with</w:t>
      </w:r>
      <w:proofErr w:type="spellEnd"/>
      <w:r>
        <w:t xml:space="preserve"> a </w:t>
      </w:r>
      <w:proofErr w:type="spellStart"/>
      <w:r>
        <w:t>predominantly</w:t>
      </w:r>
      <w:proofErr w:type="spellEnd"/>
      <w:r>
        <w:t xml:space="preserve"> </w:t>
      </w:r>
      <w:proofErr w:type="spellStart"/>
      <w:r>
        <w:t>Inuit</w:t>
      </w:r>
      <w:proofErr w:type="spellEnd"/>
      <w:r>
        <w:t xml:space="preserve"> </w:t>
      </w:r>
      <w:proofErr w:type="spellStart"/>
      <w:r>
        <w:t>population</w:t>
      </w:r>
      <w:proofErr w:type="spellEnd"/>
      <w:r>
        <w:t xml:space="preserve">, </w:t>
      </w:r>
      <w:proofErr w:type="spellStart"/>
      <w:r>
        <w:t>the</w:t>
      </w:r>
      <w:proofErr w:type="spellEnd"/>
      <w:r>
        <w:t xml:space="preserve"> </w:t>
      </w:r>
      <w:proofErr w:type="spellStart"/>
      <w:r>
        <w:t>Taima</w:t>
      </w:r>
      <w:proofErr w:type="spellEnd"/>
      <w:r>
        <w:t xml:space="preserve"> TB 3HP </w:t>
      </w:r>
      <w:proofErr w:type="spellStart"/>
      <w:r>
        <w:t>study</w:t>
      </w:r>
      <w:proofErr w:type="spellEnd"/>
      <w:r>
        <w:t xml:space="preserve">. </w:t>
      </w:r>
      <w:proofErr w:type="spellStart"/>
      <w:r>
        <w:t>Int</w:t>
      </w:r>
      <w:proofErr w:type="spellEnd"/>
      <w:r>
        <w:t xml:space="preserve"> J Circumpolar Health. 2020 Jan 1;79(1).  </w:t>
      </w:r>
    </w:p>
    <w:p w:rsidR="00E0069E" w:rsidRDefault="00C37FF7">
      <w:pPr>
        <w:numPr>
          <w:ilvl w:val="0"/>
          <w:numId w:val="2"/>
        </w:numPr>
        <w:ind w:right="0" w:hanging="640"/>
      </w:pPr>
      <w:r>
        <w:t xml:space="preserve">Gao L, Zhang H, </w:t>
      </w:r>
      <w:proofErr w:type="spellStart"/>
      <w:r>
        <w:t>Xin</w:t>
      </w:r>
      <w:proofErr w:type="spellEnd"/>
      <w:r>
        <w:t xml:space="preserve"> H, Liu J, Pan S, Li X, et al. Short-</w:t>
      </w:r>
      <w:proofErr w:type="spellStart"/>
      <w:r>
        <w:t>cour</w:t>
      </w:r>
      <w:r>
        <w:t>se</w:t>
      </w:r>
      <w:proofErr w:type="spellEnd"/>
      <w:r>
        <w:t xml:space="preserve"> </w:t>
      </w:r>
      <w:proofErr w:type="spellStart"/>
      <w:r>
        <w:t>regimens</w:t>
      </w:r>
      <w:proofErr w:type="spellEnd"/>
      <w:r>
        <w:t xml:space="preserve"> </w:t>
      </w:r>
      <w:proofErr w:type="spellStart"/>
      <w:r>
        <w:t>of</w:t>
      </w:r>
      <w:proofErr w:type="spellEnd"/>
      <w:r>
        <w:t xml:space="preserve"> </w:t>
      </w:r>
      <w:proofErr w:type="spellStart"/>
      <w:r>
        <w:t>rifapentine</w:t>
      </w:r>
      <w:proofErr w:type="spellEnd"/>
      <w:r>
        <w:t xml:space="preserve"> </w:t>
      </w:r>
      <w:proofErr w:type="spellStart"/>
      <w:r>
        <w:t>plus</w:t>
      </w:r>
      <w:proofErr w:type="spellEnd"/>
      <w:r>
        <w:t xml:space="preserve"> </w:t>
      </w:r>
      <w:proofErr w:type="spellStart"/>
      <w:r>
        <w:t>isoniazid</w:t>
      </w:r>
      <w:proofErr w:type="spellEnd"/>
      <w:r>
        <w:t xml:space="preserve"> </w:t>
      </w:r>
      <w:proofErr w:type="spellStart"/>
      <w:r>
        <w:t>to</w:t>
      </w:r>
      <w:proofErr w:type="spellEnd"/>
      <w:r>
        <w:t xml:space="preserve"> </w:t>
      </w:r>
      <w:proofErr w:type="spellStart"/>
      <w:r>
        <w:t>treat</w:t>
      </w:r>
      <w:proofErr w:type="spellEnd"/>
      <w:r>
        <w:t xml:space="preserve"> </w:t>
      </w:r>
      <w:proofErr w:type="spellStart"/>
      <w:r>
        <w:t>latent</w:t>
      </w:r>
      <w:proofErr w:type="spellEnd"/>
      <w:r>
        <w:t xml:space="preserve"> </w:t>
      </w:r>
      <w:proofErr w:type="spellStart"/>
      <w:r>
        <w:t>tuberculosis</w:t>
      </w:r>
      <w:proofErr w:type="spellEnd"/>
      <w:r>
        <w:t xml:space="preserve"> </w:t>
      </w:r>
      <w:proofErr w:type="spellStart"/>
      <w:r>
        <w:t>infection</w:t>
      </w:r>
      <w:proofErr w:type="spellEnd"/>
      <w:r>
        <w:t xml:space="preserve"> in </w:t>
      </w:r>
      <w:proofErr w:type="spellStart"/>
      <w:r>
        <w:t>older</w:t>
      </w:r>
      <w:proofErr w:type="spellEnd"/>
      <w:r>
        <w:t xml:space="preserve"> </w:t>
      </w:r>
      <w:proofErr w:type="spellStart"/>
      <w:r>
        <w:t>Chinese</w:t>
      </w:r>
      <w:proofErr w:type="spellEnd"/>
      <w:r>
        <w:t xml:space="preserve"> </w:t>
      </w:r>
      <w:proofErr w:type="spellStart"/>
      <w:r>
        <w:t>patients</w:t>
      </w:r>
      <w:proofErr w:type="spellEnd"/>
      <w:r>
        <w:t xml:space="preserve">: a </w:t>
      </w:r>
      <w:proofErr w:type="spellStart"/>
      <w:r>
        <w:t>randomised</w:t>
      </w:r>
      <w:proofErr w:type="spellEnd"/>
      <w:r>
        <w:t xml:space="preserve"> </w:t>
      </w:r>
      <w:proofErr w:type="spellStart"/>
      <w:r>
        <w:t>controlled</w:t>
      </w:r>
      <w:proofErr w:type="spellEnd"/>
      <w:r>
        <w:t xml:space="preserve"> </w:t>
      </w:r>
      <w:proofErr w:type="spellStart"/>
      <w:r>
        <w:t>study</w:t>
      </w:r>
      <w:proofErr w:type="spellEnd"/>
      <w:r>
        <w:t xml:space="preserve">. </w:t>
      </w:r>
      <w:proofErr w:type="spellStart"/>
      <w:r>
        <w:t>European</w:t>
      </w:r>
      <w:proofErr w:type="spellEnd"/>
      <w:r>
        <w:t xml:space="preserve"> </w:t>
      </w:r>
      <w:proofErr w:type="spellStart"/>
      <w:r>
        <w:t>Respiratory</w:t>
      </w:r>
      <w:proofErr w:type="spellEnd"/>
      <w:r>
        <w:t xml:space="preserve"> </w:t>
      </w:r>
      <w:proofErr w:type="spellStart"/>
      <w:r>
        <w:t>Journal</w:t>
      </w:r>
      <w:proofErr w:type="spellEnd"/>
      <w:r>
        <w:t xml:space="preserve">. 2018 Dec;52(6):1801470.  </w:t>
      </w:r>
    </w:p>
    <w:p w:rsidR="00E0069E" w:rsidRPr="00C37FF7" w:rsidRDefault="00C37FF7">
      <w:pPr>
        <w:numPr>
          <w:ilvl w:val="0"/>
          <w:numId w:val="2"/>
        </w:numPr>
        <w:ind w:right="0" w:hanging="640"/>
        <w:rPr>
          <w:lang w:val="en-US"/>
        </w:rPr>
      </w:pPr>
      <w:r w:rsidRPr="00C37FF7">
        <w:rPr>
          <w:lang w:val="en-US"/>
        </w:rPr>
        <w:t>DAIDS. Division of AIDS (DAIDS) Table for Grading the Severit</w:t>
      </w:r>
      <w:r w:rsidRPr="00C37FF7">
        <w:rPr>
          <w:lang w:val="en-US"/>
        </w:rPr>
        <w:t xml:space="preserve">y of Adult and Pediatric Adverse Events, Corrected Version 2.1. U.S. Department of Health and Human Services, National Institutes of Health, National Institute of Allergy and Infectious Diseases, Division of AIDS. 2017.  </w:t>
      </w:r>
    </w:p>
    <w:p w:rsidR="00E0069E" w:rsidRDefault="00C37FF7">
      <w:pPr>
        <w:numPr>
          <w:ilvl w:val="0"/>
          <w:numId w:val="2"/>
        </w:numPr>
        <w:ind w:right="0" w:hanging="640"/>
      </w:pPr>
      <w:r>
        <w:t>Lopes DM de A, Pinheiro VGF, Monte</w:t>
      </w:r>
      <w:r>
        <w:t xml:space="preserve">iro HSA, Queiroz JAN, Madeira L dos S, Lopes MM de A. Diagnóstico e tratamento da tuberculose latente em pacientes com doenças inflamatórias crônicas e uso de imunobiológicos inibidores do TNF-α. Jornal Brasileiro de Pneumologia. 2011 Jun;37(3):308–16.  </w:t>
      </w:r>
    </w:p>
    <w:p w:rsidR="00E0069E" w:rsidRDefault="00C37FF7">
      <w:pPr>
        <w:numPr>
          <w:ilvl w:val="0"/>
          <w:numId w:val="2"/>
        </w:numPr>
        <w:spacing w:after="0"/>
        <w:ind w:right="0" w:hanging="640"/>
      </w:pPr>
      <w:r w:rsidRPr="00C37FF7">
        <w:rPr>
          <w:lang w:val="en-US"/>
        </w:rPr>
        <w:lastRenderedPageBreak/>
        <w:t xml:space="preserve">Sterling TR, Moro RN, Borisov AS, Phillips E, Shepherd G, </w:t>
      </w:r>
      <w:proofErr w:type="spellStart"/>
      <w:r w:rsidRPr="00C37FF7">
        <w:rPr>
          <w:lang w:val="en-US"/>
        </w:rPr>
        <w:t>Adkinson</w:t>
      </w:r>
      <w:proofErr w:type="spellEnd"/>
      <w:r w:rsidRPr="00C37FF7">
        <w:rPr>
          <w:lang w:val="en-US"/>
        </w:rPr>
        <w:t xml:space="preserve"> NF, et al. </w:t>
      </w:r>
      <w:proofErr w:type="spellStart"/>
      <w:r>
        <w:t>Flu-like</w:t>
      </w:r>
      <w:proofErr w:type="spellEnd"/>
      <w:r>
        <w:t xml:space="preserve"> </w:t>
      </w:r>
      <w:proofErr w:type="spellStart"/>
      <w:r>
        <w:t>and</w:t>
      </w:r>
      <w:proofErr w:type="spellEnd"/>
      <w:r>
        <w:t xml:space="preserve"> </w:t>
      </w:r>
      <w:proofErr w:type="spellStart"/>
      <w:r>
        <w:t>Other</w:t>
      </w:r>
      <w:proofErr w:type="spellEnd"/>
      <w:r>
        <w:t xml:space="preserve"> </w:t>
      </w:r>
      <w:proofErr w:type="spellStart"/>
      <w:r>
        <w:t>Systemic</w:t>
      </w:r>
      <w:proofErr w:type="spellEnd"/>
      <w:r>
        <w:t xml:space="preserve"> </w:t>
      </w:r>
      <w:proofErr w:type="spellStart"/>
      <w:r>
        <w:t>Drug</w:t>
      </w:r>
      <w:proofErr w:type="spellEnd"/>
      <w:r>
        <w:t xml:space="preserve"> </w:t>
      </w:r>
      <w:proofErr w:type="spellStart"/>
      <w:r>
        <w:t>Reactions</w:t>
      </w:r>
      <w:proofErr w:type="spellEnd"/>
      <w:r>
        <w:t xml:space="preserve"> </w:t>
      </w:r>
      <w:proofErr w:type="spellStart"/>
      <w:r>
        <w:t>Among</w:t>
      </w:r>
      <w:proofErr w:type="spellEnd"/>
      <w:r>
        <w:t xml:space="preserve"> </w:t>
      </w:r>
      <w:proofErr w:type="spellStart"/>
      <w:r>
        <w:t>Persons</w:t>
      </w:r>
      <w:proofErr w:type="spellEnd"/>
      <w:r>
        <w:t xml:space="preserve"> </w:t>
      </w:r>
      <w:proofErr w:type="spellStart"/>
      <w:r>
        <w:t>Receiving</w:t>
      </w:r>
      <w:proofErr w:type="spellEnd"/>
      <w:r>
        <w:t xml:space="preserve"> </w:t>
      </w:r>
      <w:proofErr w:type="spellStart"/>
      <w:r>
        <w:t>Weekly</w:t>
      </w:r>
      <w:proofErr w:type="spellEnd"/>
      <w:r>
        <w:t xml:space="preserve"> </w:t>
      </w:r>
    </w:p>
    <w:p w:rsidR="00E0069E" w:rsidRDefault="00C37FF7">
      <w:pPr>
        <w:ind w:left="1290" w:right="0"/>
      </w:pPr>
      <w:r w:rsidRPr="00C37FF7">
        <w:rPr>
          <w:lang w:val="en-US"/>
        </w:rPr>
        <w:t>Rifapentine Plus Isoniazid or Daily Isoniazid for Treatment of Latent Tuberculosis Infection in the PRE</w:t>
      </w:r>
      <w:r w:rsidRPr="00C37FF7">
        <w:rPr>
          <w:lang w:val="en-US"/>
        </w:rPr>
        <w:t xml:space="preserve">VENT Tuberculosis Study. </w:t>
      </w:r>
      <w:proofErr w:type="spellStart"/>
      <w:r>
        <w:t>Clinical</w:t>
      </w:r>
      <w:proofErr w:type="spellEnd"/>
      <w:r>
        <w:t xml:space="preserve"> </w:t>
      </w:r>
      <w:proofErr w:type="spellStart"/>
      <w:r>
        <w:t>Infectious</w:t>
      </w:r>
      <w:proofErr w:type="spellEnd"/>
      <w:r>
        <w:t xml:space="preserve"> </w:t>
      </w:r>
      <w:proofErr w:type="spellStart"/>
      <w:r>
        <w:t>Diseases</w:t>
      </w:r>
      <w:proofErr w:type="spellEnd"/>
      <w:r>
        <w:t xml:space="preserve">. 2015 </w:t>
      </w:r>
      <w:proofErr w:type="spellStart"/>
      <w:r>
        <w:t>Aug</w:t>
      </w:r>
      <w:proofErr w:type="spellEnd"/>
      <w:r>
        <w:t xml:space="preserve"> 15;61(4):527–35.  </w:t>
      </w:r>
    </w:p>
    <w:p w:rsidR="00E0069E" w:rsidRDefault="00C37FF7">
      <w:pPr>
        <w:numPr>
          <w:ilvl w:val="0"/>
          <w:numId w:val="2"/>
        </w:numPr>
        <w:ind w:right="0" w:hanging="640"/>
      </w:pPr>
      <w:r w:rsidRPr="00C37FF7">
        <w:rPr>
          <w:lang w:val="en-US"/>
        </w:rPr>
        <w:t>Geneva: World Health Organization. WHO global lists of high burden countries for TB, multidrug/rifampicin-resistant TB (MDR/RR-TB) and TB/HIV, 2021–2025</w:t>
      </w:r>
      <w:proofErr w:type="gramStart"/>
      <w:r w:rsidRPr="00C37FF7">
        <w:rPr>
          <w:lang w:val="en-US"/>
        </w:rPr>
        <w:t>. .</w:t>
      </w:r>
      <w:proofErr w:type="gramEnd"/>
      <w:r w:rsidRPr="00C37FF7">
        <w:rPr>
          <w:lang w:val="en-US"/>
        </w:rPr>
        <w:t xml:space="preserve"> </w:t>
      </w:r>
      <w:r>
        <w:t>Licença: CC BY-NC</w:t>
      </w:r>
      <w:r>
        <w:t xml:space="preserve">SA 30 IGO. 2021;  </w:t>
      </w:r>
    </w:p>
    <w:p w:rsidR="00E0069E" w:rsidRPr="00C37FF7" w:rsidRDefault="00C37FF7">
      <w:pPr>
        <w:numPr>
          <w:ilvl w:val="0"/>
          <w:numId w:val="2"/>
        </w:numPr>
        <w:ind w:right="0" w:hanging="640"/>
        <w:rPr>
          <w:lang w:val="en-US"/>
        </w:rPr>
      </w:pPr>
      <w:r w:rsidRPr="00C37FF7">
        <w:rPr>
          <w:lang w:val="en-US"/>
        </w:rPr>
        <w:t xml:space="preserve">Kimberly R. </w:t>
      </w:r>
      <w:proofErr w:type="spellStart"/>
      <w:r w:rsidRPr="00C37FF7">
        <w:rPr>
          <w:lang w:val="en-US"/>
        </w:rPr>
        <w:t>Schildknecht</w:t>
      </w:r>
      <w:proofErr w:type="spellEnd"/>
      <w:r w:rsidRPr="00C37FF7">
        <w:rPr>
          <w:lang w:val="en-US"/>
        </w:rPr>
        <w:t xml:space="preserve"> M 2; RHPPJIFMSFPJLSP. Tuberculosis — United States, 2022. MMWR </w:t>
      </w:r>
      <w:proofErr w:type="spellStart"/>
      <w:r w:rsidRPr="00C37FF7">
        <w:rPr>
          <w:lang w:val="en-US"/>
        </w:rPr>
        <w:t>Morb</w:t>
      </w:r>
      <w:proofErr w:type="spellEnd"/>
      <w:r w:rsidRPr="00C37FF7">
        <w:rPr>
          <w:lang w:val="en-US"/>
        </w:rPr>
        <w:t xml:space="preserve"> Mortal </w:t>
      </w:r>
      <w:proofErr w:type="spellStart"/>
      <w:r w:rsidRPr="00C37FF7">
        <w:rPr>
          <w:lang w:val="en-US"/>
        </w:rPr>
        <w:t>Wkly</w:t>
      </w:r>
      <w:proofErr w:type="spellEnd"/>
      <w:r w:rsidRPr="00C37FF7">
        <w:rPr>
          <w:lang w:val="en-US"/>
        </w:rPr>
        <w:t xml:space="preserve"> </w:t>
      </w:r>
      <w:proofErr w:type="gramStart"/>
      <w:r w:rsidRPr="00C37FF7">
        <w:rPr>
          <w:lang w:val="en-US"/>
        </w:rPr>
        <w:t>Rep .</w:t>
      </w:r>
      <w:proofErr w:type="gramEnd"/>
      <w:r w:rsidRPr="00C37FF7">
        <w:rPr>
          <w:lang w:val="en-US"/>
        </w:rPr>
        <w:t xml:space="preserve"> 2023 Mar 24;297–303.  </w:t>
      </w:r>
    </w:p>
    <w:p w:rsidR="00E0069E" w:rsidRDefault="00C37FF7">
      <w:pPr>
        <w:numPr>
          <w:ilvl w:val="0"/>
          <w:numId w:val="2"/>
        </w:numPr>
        <w:ind w:right="0" w:hanging="640"/>
      </w:pPr>
      <w:r>
        <w:t>Organização Pan-Americana de Saúde. Dia Mundial de Combate à Tuberculose: Brasil reforça ações para eli</w:t>
      </w:r>
      <w:r>
        <w:t xml:space="preserve">minação da doença como problema de saúde pública. OPAS. 2023.  </w:t>
      </w:r>
    </w:p>
    <w:p w:rsidR="00E0069E" w:rsidRDefault="00C37FF7">
      <w:pPr>
        <w:numPr>
          <w:ilvl w:val="0"/>
          <w:numId w:val="2"/>
        </w:numPr>
        <w:spacing w:after="114" w:line="259" w:lineRule="auto"/>
        <w:ind w:right="0" w:hanging="640"/>
      </w:pPr>
      <w:r w:rsidRPr="00C37FF7">
        <w:rPr>
          <w:lang w:val="en-US"/>
        </w:rPr>
        <w:t xml:space="preserve">Geneva: World Health Organization. Global tuberculosis report 2022. </w:t>
      </w:r>
      <w:proofErr w:type="spellStart"/>
      <w:r>
        <w:t>Licence</w:t>
      </w:r>
      <w:proofErr w:type="spellEnd"/>
      <w:r>
        <w:t xml:space="preserve">: </w:t>
      </w:r>
    </w:p>
    <w:p w:rsidR="00E0069E" w:rsidRPr="00C37FF7" w:rsidRDefault="00C37FF7">
      <w:pPr>
        <w:spacing w:after="278" w:line="259" w:lineRule="auto"/>
        <w:ind w:left="1290" w:right="0"/>
        <w:rPr>
          <w:lang w:val="en-US"/>
        </w:rPr>
      </w:pPr>
      <w:r w:rsidRPr="00C37FF7">
        <w:rPr>
          <w:lang w:val="en-US"/>
        </w:rPr>
        <w:t xml:space="preserve">CC BY-NC-SA 3.0 IGO. 2022.  </w:t>
      </w:r>
    </w:p>
    <w:p w:rsidR="00E0069E" w:rsidRDefault="00C37FF7">
      <w:pPr>
        <w:numPr>
          <w:ilvl w:val="0"/>
          <w:numId w:val="2"/>
        </w:numPr>
        <w:ind w:right="0" w:hanging="640"/>
      </w:pPr>
      <w:r w:rsidRPr="00C37FF7">
        <w:rPr>
          <w:lang w:val="en-US"/>
        </w:rPr>
        <w:t xml:space="preserve">Pease C, Hutton B, </w:t>
      </w:r>
      <w:proofErr w:type="spellStart"/>
      <w:r w:rsidRPr="00C37FF7">
        <w:rPr>
          <w:lang w:val="en-US"/>
        </w:rPr>
        <w:t>Yazdi</w:t>
      </w:r>
      <w:proofErr w:type="spellEnd"/>
      <w:r w:rsidRPr="00C37FF7">
        <w:rPr>
          <w:lang w:val="en-US"/>
        </w:rPr>
        <w:t xml:space="preserve"> F, Wolfe D, Hamel C, Barbeau P, et al. A systematic review o</w:t>
      </w:r>
      <w:r w:rsidRPr="00C37FF7">
        <w:rPr>
          <w:lang w:val="en-US"/>
        </w:rPr>
        <w:t xml:space="preserve">f adverse events of rifapentine and isoniazid compared to other treatments for latent tuberculosis infection. </w:t>
      </w:r>
      <w:proofErr w:type="spellStart"/>
      <w:r>
        <w:t>Pharmacoepidemiol</w:t>
      </w:r>
      <w:proofErr w:type="spellEnd"/>
      <w:r>
        <w:t xml:space="preserve"> </w:t>
      </w:r>
      <w:proofErr w:type="spellStart"/>
      <w:r>
        <w:t>Drug</w:t>
      </w:r>
      <w:proofErr w:type="spellEnd"/>
      <w:r>
        <w:t xml:space="preserve"> </w:t>
      </w:r>
      <w:proofErr w:type="spellStart"/>
      <w:r>
        <w:t>Saf</w:t>
      </w:r>
      <w:proofErr w:type="spellEnd"/>
      <w:r>
        <w:t xml:space="preserve">. 2018 </w:t>
      </w:r>
      <w:proofErr w:type="spellStart"/>
      <w:r>
        <w:t>Jun</w:t>
      </w:r>
      <w:proofErr w:type="spellEnd"/>
      <w:r>
        <w:t xml:space="preserve"> 23;27(6):557–66.  </w:t>
      </w:r>
    </w:p>
    <w:p w:rsidR="00E0069E" w:rsidRDefault="00C37FF7">
      <w:pPr>
        <w:numPr>
          <w:ilvl w:val="0"/>
          <w:numId w:val="2"/>
        </w:numPr>
        <w:spacing w:after="115" w:line="259" w:lineRule="auto"/>
        <w:ind w:right="0" w:hanging="640"/>
      </w:pPr>
      <w:r>
        <w:t xml:space="preserve">Secretaria de Vigilância em Saúde. </w:t>
      </w:r>
      <w:proofErr w:type="spellStart"/>
      <w:r>
        <w:t>Epidemiological</w:t>
      </w:r>
      <w:proofErr w:type="spellEnd"/>
      <w:r>
        <w:t xml:space="preserve"> </w:t>
      </w:r>
      <w:proofErr w:type="spellStart"/>
      <w:r>
        <w:t>Report</w:t>
      </w:r>
      <w:proofErr w:type="spellEnd"/>
      <w:r>
        <w:t xml:space="preserve"> – </w:t>
      </w:r>
      <w:proofErr w:type="spellStart"/>
      <w:r>
        <w:t>Tuberculosis</w:t>
      </w:r>
      <w:proofErr w:type="spellEnd"/>
      <w:r>
        <w:t xml:space="preserve"> 2022. </w:t>
      </w:r>
    </w:p>
    <w:p w:rsidR="00E0069E" w:rsidRDefault="00C37FF7">
      <w:pPr>
        <w:spacing w:after="278" w:line="259" w:lineRule="auto"/>
        <w:ind w:left="1290" w:right="0"/>
      </w:pPr>
      <w:proofErr w:type="gramStart"/>
      <w:r>
        <w:t>Brasil ;</w:t>
      </w:r>
      <w:proofErr w:type="gramEnd"/>
      <w:r>
        <w:t xml:space="preserve"> 2</w:t>
      </w:r>
      <w:r>
        <w:t xml:space="preserve">022 Mar.  </w:t>
      </w:r>
    </w:p>
    <w:p w:rsidR="00E0069E" w:rsidRDefault="00C37FF7">
      <w:pPr>
        <w:numPr>
          <w:ilvl w:val="0"/>
          <w:numId w:val="2"/>
        </w:numPr>
        <w:spacing w:after="0"/>
        <w:ind w:right="0" w:hanging="640"/>
      </w:pPr>
      <w:r>
        <w:t>Ministério da Saúde. Tratamento mais eficiente no SUS beneficia pacientes com tuberculose. https://www.gov.br/saude/pt-</w:t>
      </w:r>
    </w:p>
    <w:p w:rsidR="00E0069E" w:rsidRDefault="00C37FF7">
      <w:pPr>
        <w:spacing w:after="0"/>
        <w:ind w:left="1290" w:right="0"/>
      </w:pPr>
      <w:r>
        <w:t>br/assuntos/noticias/2022/fevereiro/tratamento-mais-eficiente-no-sus-beneficiapacientes-com-</w:t>
      </w:r>
      <w:r>
        <w:t>tuberculose#:~:text=medicamentos%20pelo%20</w:t>
      </w:r>
      <w:proofErr w:type="gramStart"/>
      <w:r>
        <w:t>SUS.-</w:t>
      </w:r>
      <w:proofErr w:type="gramEnd"/>
    </w:p>
    <w:p w:rsidR="00E0069E" w:rsidRDefault="00C37FF7">
      <w:pPr>
        <w:spacing w:after="274" w:line="259" w:lineRule="auto"/>
        <w:ind w:left="1290" w:right="0"/>
      </w:pPr>
      <w:proofErr w:type="gramStart"/>
      <w:r>
        <w:t>,ILTB</w:t>
      </w:r>
      <w:proofErr w:type="gramEnd"/>
      <w:r>
        <w:t xml:space="preserve">,a%20atividade%20diminu%C3%ADda%20no%20pulm%C3%A3o. 2022.  </w:t>
      </w:r>
    </w:p>
    <w:p w:rsidR="00E0069E" w:rsidRDefault="00C37FF7">
      <w:pPr>
        <w:spacing w:after="0" w:line="259" w:lineRule="auto"/>
        <w:ind w:left="0" w:right="0" w:firstLine="0"/>
        <w:jc w:val="left"/>
      </w:pPr>
      <w:r>
        <w:t xml:space="preserve">  </w:t>
      </w:r>
    </w:p>
    <w:sectPr w:rsidR="00E0069E">
      <w:pgSz w:w="11908" w:h="16836"/>
      <w:pgMar w:top="1782" w:right="1130" w:bottom="1142" w:left="10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34866"/>
    <w:multiLevelType w:val="hybridMultilevel"/>
    <w:tmpl w:val="6EE84B12"/>
    <w:lvl w:ilvl="0" w:tplc="70BA11A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4E13B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64C8D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725F3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9410A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888E9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4257C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FAE75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4A919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A37622"/>
    <w:multiLevelType w:val="hybridMultilevel"/>
    <w:tmpl w:val="AEE0337C"/>
    <w:lvl w:ilvl="0" w:tplc="677C88C8">
      <w:start w:val="1"/>
      <w:numFmt w:val="decimal"/>
      <w:lvlText w:val="%1."/>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E65DB2">
      <w:start w:val="1"/>
      <w:numFmt w:val="lowerLetter"/>
      <w:lvlText w:val="%2"/>
      <w:lvlJc w:val="left"/>
      <w:pPr>
        <w:ind w:left="1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E63A74">
      <w:start w:val="1"/>
      <w:numFmt w:val="lowerRoman"/>
      <w:lvlText w:val="%3"/>
      <w:lvlJc w:val="left"/>
      <w:pPr>
        <w:ind w:left="1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768208">
      <w:start w:val="1"/>
      <w:numFmt w:val="decimal"/>
      <w:lvlText w:val="%4"/>
      <w:lvlJc w:val="left"/>
      <w:pPr>
        <w:ind w:left="2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E8A41E">
      <w:start w:val="1"/>
      <w:numFmt w:val="lowerLetter"/>
      <w:lvlText w:val="%5"/>
      <w:lvlJc w:val="left"/>
      <w:pPr>
        <w:ind w:left="3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0E27A2">
      <w:start w:val="1"/>
      <w:numFmt w:val="lowerRoman"/>
      <w:lvlText w:val="%6"/>
      <w:lvlJc w:val="left"/>
      <w:pPr>
        <w:ind w:left="4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FCDC06">
      <w:start w:val="1"/>
      <w:numFmt w:val="decimal"/>
      <w:lvlText w:val="%7"/>
      <w:lvlJc w:val="left"/>
      <w:pPr>
        <w:ind w:left="4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747B4C">
      <w:start w:val="1"/>
      <w:numFmt w:val="lowerLetter"/>
      <w:lvlText w:val="%8"/>
      <w:lvlJc w:val="left"/>
      <w:pPr>
        <w:ind w:left="5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DC5996">
      <w:start w:val="1"/>
      <w:numFmt w:val="lowerRoman"/>
      <w:lvlText w:val="%9"/>
      <w:lvlJc w:val="left"/>
      <w:pPr>
        <w:ind w:left="6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69E"/>
    <w:rsid w:val="00C37FF7"/>
    <w:rsid w:val="00E006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FE3F8-6515-44B8-B723-6D77F6C4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5" w:line="363" w:lineRule="auto"/>
      <w:ind w:left="3551" w:right="9"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276"/>
      <w:ind w:left="10" w:right="14"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276"/>
      <w:ind w:left="10" w:right="14" w:hanging="10"/>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spacing w:after="276"/>
      <w:ind w:left="10" w:right="14" w:hanging="10"/>
      <w:outlineLvl w:val="2"/>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3Char">
    <w:name w:val="Título 3 Char"/>
    <w:link w:val="Ttulo3"/>
    <w:rPr>
      <w:rFonts w:ascii="Arial" w:eastAsia="Arial" w:hAnsi="Arial" w:cs="Arial"/>
      <w:b/>
      <w:color w:val="000000"/>
      <w:sz w:val="24"/>
    </w:rPr>
  </w:style>
  <w:style w:type="character" w:customStyle="1" w:styleId="Ttulo1Char">
    <w:name w:val="Título 1 Char"/>
    <w:link w:val="Ttulo1"/>
    <w:rPr>
      <w:rFonts w:ascii="Arial" w:eastAsia="Arial" w:hAnsi="Arial" w:cs="Arial"/>
      <w:b/>
      <w:color w:val="000000"/>
      <w:sz w:val="24"/>
    </w:rPr>
  </w:style>
  <w:style w:type="paragraph" w:styleId="Sumrio1">
    <w:name w:val="toc 1"/>
    <w:hidden/>
    <w:pPr>
      <w:spacing w:after="110"/>
      <w:ind w:left="25" w:right="582" w:hanging="10"/>
    </w:pPr>
    <w:rPr>
      <w:rFonts w:ascii="Arial" w:eastAsia="Arial" w:hAnsi="Arial" w:cs="Arial"/>
      <w:b/>
      <w:color w:val="000000"/>
      <w:sz w:val="24"/>
    </w:rPr>
  </w:style>
  <w:style w:type="paragraph" w:styleId="Sumrio2">
    <w:name w:val="toc 2"/>
    <w:hidden/>
    <w:pPr>
      <w:spacing w:after="222"/>
      <w:ind w:left="245" w:right="23" w:hanging="10"/>
      <w:jc w:val="both"/>
    </w:pPr>
    <w:rPr>
      <w:rFonts w:ascii="Arial" w:eastAsia="Arial" w:hAnsi="Arial" w:cs="Arial"/>
      <w:color w:val="000000"/>
      <w:sz w:val="24"/>
    </w:rPr>
  </w:style>
  <w:style w:type="paragraph" w:styleId="Sumrio3">
    <w:name w:val="toc 3"/>
    <w:hidden/>
    <w:pPr>
      <w:spacing w:after="226"/>
      <w:ind w:left="245" w:right="23"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9457</Words>
  <Characters>51073</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btgoes@outlook.com</dc:creator>
  <cp:keywords/>
  <cp:lastModifiedBy>CARLA DA SILVA SANTOS - BIBLIOTECA BROTAS</cp:lastModifiedBy>
  <cp:revision>2</cp:revision>
  <dcterms:created xsi:type="dcterms:W3CDTF">2024-08-02T11:12:00Z</dcterms:created>
  <dcterms:modified xsi:type="dcterms:W3CDTF">2024-08-02T11:12:00Z</dcterms:modified>
</cp:coreProperties>
</file>